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pgNumType w:fmt="decimal"/>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12" w:name="bookmark1"/>
                  <w:bookmarkEnd w:id="12"/>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6</w:t>
      </w:r>
      <w:r>
        <w:rPr>
          <w:spacing w:val="-28"/>
          <w:sz w:val="40"/>
          <w:szCs w:val="40"/>
        </w:rPr>
        <w:t xml:space="preserve"> 年</w:t>
      </w:r>
      <w:r>
        <w:rPr>
          <w:rFonts w:hint="eastAsia"/>
          <w:spacing w:val="-28"/>
          <w:sz w:val="40"/>
          <w:szCs w:val="40"/>
          <w:lang w:val="en-US" w:eastAsia="zh-CN"/>
        </w:rPr>
        <w:t xml:space="preserve"> 3 </w:t>
      </w:r>
      <w:r>
        <w:rPr>
          <w:spacing w:val="-28"/>
          <w:sz w:val="40"/>
          <w:szCs w:val="40"/>
        </w:rPr>
        <w:t>月</w:t>
      </w:r>
      <w:r>
        <w:rPr>
          <w:rFonts w:hint="eastAsia"/>
          <w:spacing w:val="-28"/>
          <w:sz w:val="40"/>
          <w:szCs w:val="40"/>
          <w:lang w:val="en-US" w:eastAsia="zh-CN"/>
        </w:rPr>
        <w:t xml:space="preserve"> 17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6</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3</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1F7B622C">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16A85906">
          <w:pPr>
            <w:spacing w:before="0" w:beforeLines="0" w:after="0" w:afterLines="0" w:line="240" w:lineRule="auto"/>
            <w:ind w:left="0" w:leftChars="0" w:right="0" w:rightChars="0" w:firstLine="0" w:firstLineChars="0"/>
            <w:jc w:val="center"/>
            <w:rPr>
              <w:rFonts w:hint="eastAsia" w:ascii="楷体" w:hAnsi="楷体" w:eastAsia="楷体" w:cs="楷体"/>
              <w:snapToGrid w:val="0"/>
              <w:color w:val="000000"/>
              <w:kern w:val="0"/>
              <w:sz w:val="3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744D003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1.2026年</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_Toc5052 </w:instrText>
          </w:r>
          <w:r>
            <w:rPr>
              <w:rFonts w:hint="eastAsia" w:ascii="楷体" w:hAnsi="楷体" w:eastAsia="楷体" w:cs="楷体"/>
              <w:sz w:val="31"/>
              <w:szCs w:val="31"/>
            </w:rPr>
            <w:fldChar w:fldCharType="separate"/>
          </w:r>
          <w:r>
            <w:rPr>
              <w:rFonts w:hint="eastAsia" w:ascii="楷体" w:hAnsi="楷体" w:eastAsia="楷体" w:cs="楷体"/>
              <w:sz w:val="31"/>
              <w:szCs w:val="31"/>
            </w:rPr>
            <w:t>政府工作报告</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04B53907">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_Toc2076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习近平总书记参加十四届全国人大四次会议江苏代表团审议时的重要讲话</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_Toc2076 \h </w:instrText>
          </w:r>
          <w:r>
            <w:rPr>
              <w:rFonts w:hint="eastAsia" w:ascii="楷体" w:hAnsi="楷体" w:eastAsia="楷体" w:cs="楷体"/>
              <w:sz w:val="31"/>
              <w:szCs w:val="31"/>
            </w:rPr>
            <w:fldChar w:fldCharType="separate"/>
          </w:r>
          <w:r>
            <w:rPr>
              <w:rFonts w:hint="eastAsia" w:ascii="楷体" w:hAnsi="楷体" w:eastAsia="楷体" w:cs="楷体"/>
              <w:sz w:val="31"/>
              <w:szCs w:val="31"/>
            </w:rPr>
            <w:t>3</w:t>
          </w: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2652F02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_Toc7102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习近平总书记看望参加全国政协十四届四次会议的农工党、九三学社、医药卫生界、社会福利和社会保障界委员并参加联组会时的重要讲话</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_Toc7102 \h </w:instrText>
          </w:r>
          <w:r>
            <w:rPr>
              <w:rFonts w:hint="eastAsia" w:ascii="楷体" w:hAnsi="楷体" w:eastAsia="楷体" w:cs="楷体"/>
              <w:sz w:val="31"/>
              <w:szCs w:val="31"/>
            </w:rPr>
            <w:fldChar w:fldCharType="separate"/>
          </w:r>
          <w:r>
            <w:rPr>
              <w:rFonts w:hint="eastAsia" w:ascii="楷体" w:hAnsi="楷体" w:eastAsia="楷体" w:cs="楷体"/>
              <w:sz w:val="31"/>
              <w:szCs w:val="31"/>
            </w:rPr>
            <w:t>4</w:t>
          </w:r>
          <w:r>
            <w:rPr>
              <w:rFonts w:hint="eastAsia" w:ascii="楷体" w:hAnsi="楷体" w:eastAsia="楷体" w:cs="楷体"/>
              <w:sz w:val="31"/>
              <w:szCs w:val="31"/>
              <w:lang w:val="en-US" w:eastAsia="zh-CN"/>
            </w:rPr>
            <w:t>0</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3105DF1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_Toc25846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十四届全国人大四次会议在京闭幕</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_Toc25846 \h </w:instrText>
          </w:r>
          <w:r>
            <w:rPr>
              <w:rFonts w:hint="eastAsia" w:ascii="楷体" w:hAnsi="楷体" w:eastAsia="楷体" w:cs="楷体"/>
              <w:sz w:val="31"/>
              <w:szCs w:val="31"/>
            </w:rPr>
            <w:fldChar w:fldCharType="separate"/>
          </w:r>
          <w:r>
            <w:rPr>
              <w:rFonts w:hint="eastAsia" w:ascii="楷体" w:hAnsi="楷体" w:eastAsia="楷体" w:cs="楷体"/>
              <w:sz w:val="31"/>
              <w:szCs w:val="31"/>
            </w:rPr>
            <w:t>4</w:t>
          </w: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2D5B40A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_Toc4517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《求是》杂志发表习近平总书记重要文章《让愿担当、敢担当、善担当蔚然成风》</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_Toc4517 \h </w:instrText>
          </w:r>
          <w:r>
            <w:rPr>
              <w:rFonts w:hint="eastAsia" w:ascii="楷体" w:hAnsi="楷体" w:eastAsia="楷体" w:cs="楷体"/>
              <w:sz w:val="31"/>
              <w:szCs w:val="31"/>
            </w:rPr>
            <w:fldChar w:fldCharType="separate"/>
          </w:r>
          <w:r>
            <w:rPr>
              <w:rFonts w:hint="eastAsia" w:ascii="楷体" w:hAnsi="楷体" w:eastAsia="楷体" w:cs="楷体"/>
              <w:sz w:val="31"/>
              <w:szCs w:val="31"/>
            </w:rPr>
            <w:t>4</w:t>
          </w:r>
          <w:r>
            <w:rPr>
              <w:rFonts w:hint="eastAsia" w:ascii="楷体" w:hAnsi="楷体" w:eastAsia="楷体" w:cs="楷体"/>
              <w:sz w:val="31"/>
              <w:szCs w:val="31"/>
              <w:lang w:val="en-US" w:eastAsia="zh-CN"/>
            </w:rPr>
            <w:t>8</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1E91FDD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_Toc29826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中办印发《通知》在全党开展树立和践行正确政绩观学习教育</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_Toc29826 \h </w:instrText>
          </w:r>
          <w:r>
            <w:rPr>
              <w:rFonts w:hint="eastAsia" w:ascii="楷体" w:hAnsi="楷体" w:eastAsia="楷体" w:cs="楷体"/>
              <w:sz w:val="31"/>
              <w:szCs w:val="31"/>
            </w:rPr>
            <w:fldChar w:fldCharType="separate"/>
          </w:r>
          <w:r>
            <w:rPr>
              <w:rFonts w:hint="eastAsia" w:ascii="楷体" w:hAnsi="楷体" w:eastAsia="楷体" w:cs="楷体"/>
              <w:sz w:val="31"/>
              <w:szCs w:val="31"/>
            </w:rPr>
            <w:t>51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4C26119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_Toc19297 </w:instrText>
          </w:r>
          <w:r>
            <w:rPr>
              <w:rFonts w:hint="eastAsia" w:ascii="楷体" w:hAnsi="楷体" w:eastAsia="楷体" w:cs="楷体"/>
              <w:sz w:val="31"/>
              <w:szCs w:val="31"/>
            </w:rPr>
            <w:fldChar w:fldCharType="separate"/>
          </w:r>
          <w:r>
            <w:rPr>
              <w:rFonts w:hint="eastAsia" w:ascii="楷体" w:hAnsi="楷体" w:eastAsia="楷体" w:cs="楷体"/>
              <w:sz w:val="31"/>
              <w:szCs w:val="31"/>
            </w:rPr>
            <w:t>“十五五”开局，教育向“新”而行</w:t>
          </w:r>
          <w:r>
            <w:rPr>
              <w:rFonts w:hint="eastAsia" w:ascii="楷体" w:hAnsi="楷体" w:eastAsia="楷体" w:cs="楷体"/>
              <w:sz w:val="31"/>
              <w:szCs w:val="31"/>
            </w:rPr>
            <w:fldChar w:fldCharType="end"/>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_Toc22994 </w:instrText>
          </w:r>
          <w:r>
            <w:rPr>
              <w:rFonts w:hint="eastAsia" w:ascii="楷体" w:hAnsi="楷体" w:eastAsia="楷体" w:cs="楷体"/>
              <w:sz w:val="31"/>
              <w:szCs w:val="31"/>
            </w:rPr>
            <w:fldChar w:fldCharType="separate"/>
          </w:r>
          <w:r>
            <w:rPr>
              <w:rFonts w:hint="eastAsia" w:ascii="楷体" w:hAnsi="楷体" w:eastAsia="楷体" w:cs="楷体"/>
              <w:sz w:val="31"/>
              <w:szCs w:val="31"/>
            </w:rPr>
            <w:t>——从全国两会看“十五五”时期教育新使命</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_Toc22994 \h </w:instrText>
          </w:r>
          <w:r>
            <w:rPr>
              <w:rFonts w:hint="eastAsia" w:ascii="楷体" w:hAnsi="楷体" w:eastAsia="楷体" w:cs="楷体"/>
              <w:sz w:val="31"/>
              <w:szCs w:val="31"/>
            </w:rPr>
            <w:fldChar w:fldCharType="separate"/>
          </w:r>
          <w:r>
            <w:rPr>
              <w:rFonts w:hint="eastAsia" w:ascii="楷体" w:hAnsi="楷体" w:eastAsia="楷体" w:cs="楷体"/>
              <w:sz w:val="31"/>
              <w:szCs w:val="31"/>
            </w:rPr>
            <w:t>5</w:t>
          </w: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720178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8.中华人民共和国国民经济和社会发展第十五个五年规划纲要…………………………………………略</w:t>
          </w:r>
        </w:p>
        <w:p w14:paraId="112340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楷体" w:hAnsi="楷体" w:eastAsia="楷体" w:cs="楷体"/>
              <w:sz w:val="31"/>
              <w:szCs w:val="31"/>
              <w:lang w:val="en-US" w:eastAsia="zh-CN"/>
            </w:rPr>
          </w:pPr>
          <w:r>
            <w:rPr>
              <w:rFonts w:hint="eastAsia" w:ascii="楷体" w:hAnsi="楷体" w:eastAsia="楷体" w:cs="楷体"/>
              <w:sz w:val="31"/>
              <w:szCs w:val="31"/>
              <w:lang w:val="en-US" w:eastAsia="zh-CN"/>
            </w:rPr>
            <w:t>9.</w:t>
          </w:r>
          <w:bookmarkStart w:id="13" w:name="_GoBack"/>
          <w:r>
            <w:rPr>
              <w:rFonts w:hint="eastAsia" w:ascii="楷体" w:hAnsi="楷体" w:eastAsia="楷体" w:cs="楷体"/>
              <w:sz w:val="31"/>
              <w:szCs w:val="31"/>
              <w:lang w:val="en-US" w:eastAsia="zh-CN"/>
            </w:rPr>
            <w:t>《习近平关于树立和践行正确政绩观论述摘编》</w:t>
          </w:r>
          <w:bookmarkEnd w:id="13"/>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pgNumType w:fmt="decimal"/>
          <w:cols w:equalWidth="0" w:num="2">
            <w:col w:w="2909" w:space="100"/>
            <w:col w:w="6895"/>
          </w:cols>
        </w:sectPr>
      </w:pPr>
    </w:p>
    <w:p w14:paraId="4880DAAA">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bookmarkStart w:id="0" w:name="bookmark17"/>
      <w:bookmarkEnd w:id="0"/>
      <w:bookmarkStart w:id="1" w:name="bookmark5"/>
      <w:bookmarkEnd w:id="1"/>
      <w:bookmarkStart w:id="2" w:name="bookmark19"/>
      <w:bookmarkEnd w:id="2"/>
      <w:bookmarkStart w:id="3" w:name="_Toc5052"/>
      <w:r>
        <w:rPr>
          <w:rFonts w:hint="eastAsia"/>
        </w:rPr>
        <w:t>政府工作报告</w:t>
      </w:r>
      <w:bookmarkEnd w:id="3"/>
    </w:p>
    <w:p w14:paraId="34A971E5">
      <w:pPr>
        <w:pStyle w:val="2"/>
        <w:pageBreakBefore w:val="0"/>
        <w:widowControl/>
        <w:kinsoku w:val="0"/>
        <w:wordWrap/>
        <w:overflowPunct/>
        <w:topLinePunct w:val="0"/>
        <w:autoSpaceDE w:val="0"/>
        <w:autoSpaceDN w:val="0"/>
        <w:bidi w:val="0"/>
        <w:adjustRightInd w:val="0"/>
        <w:snapToGrid w:val="0"/>
        <w:spacing w:line="240" w:lineRule="auto"/>
        <w:textAlignment w:val="baseline"/>
        <w:rPr>
          <w:rFonts w:hint="eastAsia"/>
        </w:rPr>
      </w:pPr>
      <w:bookmarkStart w:id="4" w:name="_Toc25303"/>
      <w:r>
        <w:rPr>
          <w:rFonts w:hint="eastAsia"/>
        </w:rPr>
        <w:t>——2026年3月5日在第十四届全国人民代表大会第四次会议上</w:t>
      </w:r>
      <w:bookmarkEnd w:id="4"/>
    </w:p>
    <w:p w14:paraId="7450B2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p>
    <w:p w14:paraId="79567D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各位代表：</w:t>
      </w:r>
    </w:p>
    <w:p w14:paraId="6D4F33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现在，我代表国务院，向大会作政府工作报告，请予审议，并请全国政协委员提出意见。</w:t>
      </w:r>
    </w:p>
    <w:p w14:paraId="54DF38D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一、2025年工作回顾</w:t>
      </w:r>
    </w:p>
    <w:p w14:paraId="0D5C300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69E56B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28D9BF9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4E8232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2A3D1B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我们深入学习贯彻习近平新时代中国特色社会主义思想，全面贯彻落实党的二十大和二十届历次全会精神，按照党中央决策部署，一年来主要做了以下工作。</w:t>
      </w:r>
    </w:p>
    <w:p w14:paraId="34AD19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25E82C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14:paraId="08367C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14:paraId="165258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2F60B8C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242941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六是加快美丽中国建设，推动绿色低碳发展。扎实开展大气污染防治提质增效行动，地级及以上城市细颗粒物（PM2.5）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14:paraId="38395F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5483E66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7B9A89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14:paraId="35A2F56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693090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112048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二、“十五五”时期主要目标和重大任务</w:t>
      </w:r>
    </w:p>
    <w:p w14:paraId="4DF20C2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358E875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（一）关于主要目标指标</w:t>
      </w:r>
    </w:p>
    <w:p w14:paraId="273E36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72CF29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（二）关于重大战略任务</w:t>
      </w:r>
    </w:p>
    <w:p w14:paraId="5E35E5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《纲要（草案）》分领域阐述了“十五五”发展的重大战略任务，突出体现四个方面。</w:t>
      </w:r>
    </w:p>
    <w:p w14:paraId="6EA289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5914AA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197D2E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0E862C5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280C05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（三）关于重大工程项目</w:t>
      </w:r>
    </w:p>
    <w:p w14:paraId="12325E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14:paraId="536312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展望未来，我们充满信心。在以习近平同志为核心的党中央坚强领导下，全国上下团结奋斗，一定能够把“十五五”宏伟蓝图变成美好现实。</w:t>
      </w:r>
    </w:p>
    <w:p w14:paraId="6F9707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三、2026年经济社会发展总体要求和政策取向</w:t>
      </w:r>
    </w:p>
    <w:p w14:paraId="04A80E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3854C3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2742B88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7216CE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在政策取向上，我们将坚持稳中求进、提质增效，发挥存量政策和增量政策集成效应，加大逆周期和跨周期调节力度，切实提升宏观经济治理效能。</w:t>
      </w:r>
    </w:p>
    <w:p w14:paraId="28FBD2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3CEEB8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13F566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6066BE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四、2026年政府工作任务</w:t>
      </w:r>
    </w:p>
    <w:p w14:paraId="015B70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党中央对今年工作作出了全面部署，我们要深入贯彻落实，扎实做好各项工作。</w:t>
      </w:r>
    </w:p>
    <w:p w14:paraId="628CBB3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（一）着力建设强大国内市场。坚持内需主导，统筹促消费和扩投资，拓展内需增长新空间，更好发挥我国超大规模市场优势。</w:t>
      </w:r>
    </w:p>
    <w:p w14:paraId="08DE54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14:paraId="37D47F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419F43B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（二）加紧培育壮大新动能。坚持把发展经济的着力点放在实体经济上，因地制宜发展新质生产力，建设现代化产业体系。</w:t>
      </w:r>
    </w:p>
    <w:p w14:paraId="5F5E26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46C60CD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4EBC2D5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14:paraId="08DB2E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14:paraId="418885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（三）加快高水平科技自立自强。抓住新一轮科技革命和产业变革历史机遇，全面增强自主创新能力，为高质量发展提供科技支撑。</w:t>
      </w:r>
    </w:p>
    <w:p w14:paraId="3A1284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12E30F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14:paraId="1E0BBE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73D7B56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（四）持续深化重点领域改革。围绕构建高水平社会主义市场经济体制，强化改革攻坚，深入破除体制机制障碍，增强高质量发展动力活力。</w:t>
      </w:r>
    </w:p>
    <w:p w14:paraId="5F5F34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14:paraId="495C59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56F005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0EA4EF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（五）进一步扩大高水平对外开放。坚持合作共赢，稳步扩大制度型开放，拓展国际循环，以开放促改革促发展。</w:t>
      </w:r>
    </w:p>
    <w:p w14:paraId="748B13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496664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50A50E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3671607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14:paraId="489BA2C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（六）扎实推进乡村全面振兴。坚持把“三农”工作作为重中之重，深入学习运用“千万工程”经验，提高强农惠农富农政策效能，进一步夯实农业农村基础、提升发展质效。</w:t>
      </w:r>
    </w:p>
    <w:p w14:paraId="153EF5C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4AF1D4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702981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3E4670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（七）推动新型城镇化和区域协调发展。深入实施区域协调发展战略、区域重大战略、主体功能区战略和新型城镇化战略，构建优势互补、高质量发展的区域经济布局和国土空间体系。</w:t>
      </w:r>
    </w:p>
    <w:p w14:paraId="7E9BDE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5CCC4C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4067F7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（八）更大力度保障和改善民生。坚持民生为大，加强普惠性、基础性、兜底性民生建设，努力为人民群众多办实事。</w:t>
      </w:r>
    </w:p>
    <w:p w14:paraId="061575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26A930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14:paraId="16DB64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09FDAF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39F347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14:paraId="658F78A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（九）加快推动全面绿色转型。以碳达峰碳中和为牵引，协同推进降碳、减污、扩绿、增长，增强绿色发展动能。</w:t>
      </w:r>
    </w:p>
    <w:p w14:paraId="03D32D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1212B6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531E73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06B61A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（十）加强重点领域风险防范化解和安全能力建设。统筹防风险和促发展，进一步增强发展韧性，坚决守牢安全底线，促进社会和谐稳定。</w:t>
      </w:r>
    </w:p>
    <w:p w14:paraId="52B4114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6D0732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1A2BB1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129344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4F29EFF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20F3ACB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42B079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65213C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55A242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515ED7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644B0D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656FA3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b w:val="0"/>
          <w:bCs w:val="0"/>
          <w:color w:val="262626"/>
          <w:spacing w:val="17"/>
          <w:sz w:val="31"/>
          <w:szCs w:val="31"/>
        </w:rPr>
      </w:pPr>
      <w:r>
        <w:rPr>
          <w:rFonts w:hint="eastAsia" w:ascii="仿宋" w:hAnsi="仿宋" w:eastAsia="仿宋" w:cs="仿宋"/>
          <w:b w:val="0"/>
          <w:bCs w:val="0"/>
          <w:color w:val="262626"/>
          <w:spacing w:val="17"/>
          <w:sz w:val="31"/>
          <w:szCs w:val="31"/>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395A47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ADA24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4ED4D89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4E6104E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F54D14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2316F4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F1D95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5E8EBD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FD84F1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0D9F7E4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696625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37A57A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rPr>
      </w:pPr>
    </w:p>
    <w:p w14:paraId="1B84B158">
      <w:pPr>
        <w:pStyle w:val="2"/>
        <w:bidi w:val="0"/>
      </w:pPr>
      <w:bookmarkStart w:id="5" w:name="_Toc2076"/>
      <w:r>
        <w:rPr>
          <w:rFonts w:hint="eastAsia"/>
        </w:rPr>
        <w:t>习近平总书记参加十四届全国人大四次会议江苏代表团审议时的重要讲话</w:t>
      </w:r>
      <w:bookmarkEnd w:id="5"/>
    </w:p>
    <w:p w14:paraId="09AF89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5日下午参加十四届全国人大四次会议江苏代表团审议并发表重要讲话。出席全国两会的代表委员和各地干部群众深入学习领会习近平总书记重要讲话精神，表示新征程上要更加紧密团结在以习近平同志为核心的党中央周围，经济大省勇挑大梁，各省份发挥优势，坚定信心、勇毅前行，扎实推进高质量发展，确保“十五五”开好局起好步。</w:t>
      </w:r>
    </w:p>
    <w:p w14:paraId="6D31AAD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去年全国两会上，习近平总书记参加江苏代表团审议时强调，圆满实现“十四五”发展目标，经济大省要挑大梁。今年再次来到江苏代表团，总书记进一步提出，江苏等经济大省处在改革开放前沿，要在研究新情况、解决新问题上下功夫、出经验。</w:t>
      </w:r>
    </w:p>
    <w:p w14:paraId="7D78D2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的重要讲话为江苏发展把脉定向，饱含着对江苏的关心关怀和殷切希望，激励我们奋勇争先，以实干担当书写崭新答卷。”现场发言的淮安市委书记史志军代表告诉记者，将立足“十五五”夯实基础、全面发力要求，以奋进之姿勇挑大梁之责，为全省、全国发展大局作出新的更大贡献。</w:t>
      </w:r>
    </w:p>
    <w:p w14:paraId="0D81449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高质量发展是新时代的硬道理，发展新质生产力是推动高质量发展的内在要求和重要着力点。</w:t>
      </w:r>
    </w:p>
    <w:p w14:paraId="0F818D6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“习近平总书记在谈到发展新质生产力时强调要一体推进教育科技人才发展，为我们高校做好‘十五五’创新大文章指明方向。”现场聆听了习近平总书记的重要讲话，苏州大学党委书记张晓宏代表倍感振奋。</w:t>
      </w:r>
    </w:p>
    <w:p w14:paraId="1AE331A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“我们将牢记人才是第一资源，面向科技前沿和产业急需加强人才引育，深耕基础研究和成果转化，勇当科技创新和产业创新融合排头兵。”张晓宏说。</w:t>
      </w:r>
    </w:p>
    <w:p w14:paraId="67056F9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习近平总书记提出，力争在加强原始创新和关键核心技术攻关、抢占科技制高点上实现新突破。</w:t>
      </w:r>
    </w:p>
    <w:p w14:paraId="696EBE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“作为一名深海领域科研人员，我将以国家战略需求为导向，挺进深海科技核心技术攻关‘无人区’，为发展新质生产力贡献力量。”中国船舶集团有限公司第七〇二研究所研究员胡震委员说。</w:t>
      </w:r>
    </w:p>
    <w:p w14:paraId="757371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经济增韧性，发展添底气。</w:t>
      </w:r>
    </w:p>
    <w:p w14:paraId="76D24E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强调要练好内功、做强自身。就我们来说，重要的是全面融入全国统一大市场，助力畅通国内大循环。”重庆市发展改革委副主任朱江表示，将通过不断破除壁垒、消除堵点卡点，以要素融通带动内需畅通，在服务构建新发展格局中展现更大作为。</w:t>
      </w:r>
    </w:p>
    <w:p w14:paraId="3507101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进入2026年，中欧班列（西安）仅用61天就开行突破1000列，实现首季运输“开门红”——陕西省贸促会会长贾正兰委员带来了一线最新消息。</w:t>
      </w:r>
    </w:p>
    <w:p w14:paraId="300C8A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面对复杂多变的国际环境，我国外贸规模再创新高、市场更加多元，彰显出强劲的发展韧性。”贾正兰表示，贸促会身处对外开放前沿，我们将持续发挥好联通政企、融通内外、畅通供需作用，为中外工商界搭建务实、便捷、高效的合作桥梁。</w:t>
      </w:r>
    </w:p>
    <w:p w14:paraId="1DB56A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中国式现代化是全体人民共同富裕的现代化。</w:t>
      </w:r>
    </w:p>
    <w:p w14:paraId="4CD541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城镇累计新增就业4.2万人、“长者食堂”实现村村全覆盖、获评国家级义务教育优质均衡发展区……刚刚过去的“十四五”，江苏盐城市大丰区交出厚实的民生“成绩单”。</w:t>
      </w:r>
    </w:p>
    <w:p w14:paraId="2BA571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大丰区区长戴勇代表说，将准确把握新形势下人民群众对美好生活新期待和民生工作新特点，按照习近平总书记要求，积极主动解答如何实现高质量充分就业、如何增加城乡居民收入、如何进一步提升基本公共服务和社会保障水平等课题，将一份份“民生清单”变为“幸福账单”。</w:t>
      </w:r>
    </w:p>
    <w:p w14:paraId="4925D3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发展壮大特色产业，我们村里的‘土特产’走向大市场，小小化橘红成了乡亲们的致富果。”作为一名回乡创业的“90后”，广东茂名化州市培林橘红种植专业合作社社长廖志略代表，带领村民们鼓起了腰包。他说，进入“十五五”，合作社将积极探索农文旅融合，以乡村产业新发展托起村民致富梦。</w:t>
      </w:r>
    </w:p>
    <w:p w14:paraId="2A294C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管党治党越有效，经济社会发展的保障就越有力。</w:t>
      </w:r>
    </w:p>
    <w:p w14:paraId="2097FFC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认真学习习近平总书记重要讲话，河北省衡水市副市长崔海霞代表更加深刻认识到树立和践行正确政绩观的重要意义。</w:t>
      </w:r>
    </w:p>
    <w:p w14:paraId="2A43EF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作为分管文教卫体医保等方面工作的副市长，我深刻认识到这些领域工作虽然大都‘润物细无声’，但却关乎城乡长远发展和百姓切身利益。”崔海霞说，将以树立和践行正确政绩观学习教育为契机，把更多精力投入到群众最期盼、最关注的民生实事上，以“钉钉子”精神落实好党中央各项决策部署，努力创造经得起实践、人民、历史检验的实绩。</w:t>
      </w:r>
    </w:p>
    <w:p w14:paraId="2B67230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4C37F0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8FFAE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A0B22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27AB40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651C0EB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600CB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776610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A3F8A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9A74C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9702D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C483B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740A13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6270B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01A994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DE54B6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EFBF9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A4FB1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57D18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1556B6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6A2C0F98">
      <w:pPr>
        <w:pStyle w:val="2"/>
        <w:bidi w:val="0"/>
        <w:rPr>
          <w:rFonts w:hint="eastAsia"/>
          <w:lang w:val="en-US" w:eastAsia="zh-CN"/>
        </w:rPr>
      </w:pPr>
      <w:bookmarkStart w:id="6" w:name="_Toc7102"/>
      <w:r>
        <w:rPr>
          <w:rFonts w:hint="eastAsia"/>
          <w:lang w:val="en-US" w:eastAsia="zh-CN"/>
        </w:rPr>
        <w:t>习近平总书记看望参加全国政协十四届四次会议的农工党、九三学社、医药卫生界、社会福利和社会保障界委员并参加联组会时的重要讲话</w:t>
      </w:r>
      <w:bookmarkEnd w:id="6"/>
    </w:p>
    <w:p w14:paraId="16EFA0C7">
      <w:pPr>
        <w:pStyle w:val="2"/>
        <w:bidi w:val="0"/>
        <w:jc w:val="left"/>
        <w:rPr>
          <w:rFonts w:hint="eastAsia"/>
          <w:lang w:val="en-US" w:eastAsia="zh-CN"/>
        </w:rPr>
      </w:pPr>
    </w:p>
    <w:p w14:paraId="418CBC4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新华社北京3月6日电</w:t>
      </w:r>
      <w:r>
        <w:rPr>
          <w:rFonts w:hint="eastAsia" w:ascii="仿宋" w:hAnsi="仿宋" w:eastAsia="仿宋" w:cs="仿宋"/>
          <w:color w:val="262626"/>
          <w:spacing w:val="17"/>
          <w:sz w:val="31"/>
          <w:szCs w:val="31"/>
          <w:lang w:val="en-US" w:eastAsia="zh-CN"/>
        </w:rPr>
        <w:t xml:space="preserve">  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4E630C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594548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中共中央政治局常委、全国政协主席王沪宁，中共中央政治局常委、中央办公厅主任蔡奇参加看望和讨论。</w:t>
      </w:r>
    </w:p>
    <w:p w14:paraId="3E59B82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联组会上，王路、马秀珍、卢柯、蒋建东、巴桑卓玛、刘启芳等6位委员，分别就实施健康优先发展战略、提升基层医疗服务水平、加强材料技术攻关、推进创新药研发、做好高原病防治、发展公益慈善事业等作了发言。</w:t>
      </w:r>
    </w:p>
    <w:p w14:paraId="1BA2BF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6A6B8B2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4BC0F1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79CA4F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78F6E5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743414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104D7F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石泰峰、何维、武维华、邵鸿、王东峰、杨震等参加联组会。</w:t>
      </w:r>
    </w:p>
    <w:p w14:paraId="445BCC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3EB9C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2918B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874A8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DD2FC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05ED8D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BB421A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F601A2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A8EC0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BF3EC5C">
      <w:pPr>
        <w:pStyle w:val="2"/>
        <w:bidi w:val="0"/>
        <w:rPr>
          <w:rFonts w:hint="eastAsia"/>
          <w:lang w:val="en-US" w:eastAsia="zh-CN"/>
        </w:rPr>
      </w:pPr>
      <w:bookmarkStart w:id="7" w:name="_Toc25846"/>
      <w:r>
        <w:rPr>
          <w:rFonts w:hint="eastAsia"/>
          <w:lang w:val="en-US" w:eastAsia="zh-CN"/>
        </w:rPr>
        <w:t>十四届全国人大四次会议在京闭幕</w:t>
      </w:r>
      <w:bookmarkEnd w:id="7"/>
    </w:p>
    <w:p w14:paraId="6572E3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新华社北京3月12日电</w:t>
      </w:r>
      <w:r>
        <w:rPr>
          <w:rFonts w:hint="eastAsia" w:ascii="仿宋" w:hAnsi="仿宋" w:eastAsia="仿宋" w:cs="仿宋"/>
          <w:color w:val="262626"/>
          <w:spacing w:val="17"/>
          <w:sz w:val="31"/>
          <w:szCs w:val="31"/>
          <w:lang w:val="en-US" w:eastAsia="zh-CN"/>
        </w:rPr>
        <w:t xml:space="preserve">  第十四届全国人民代表大会第四次会议在圆满完成各项议程后，12日下午在北京人民大会堂闭幕。大会批准政府工作报告、“十五五”规划纲要、全国人大常委会工作报告等。大会通过生态环境法典、民族团结进步促进法、国家发展规划法、关于批准全国人大常委会关于法律清理工作情况和有关法律和决定处理意见的报告的决定，国家主席习近平签署第70号、第71号、第72号、第73号主席令。</w:t>
      </w:r>
    </w:p>
    <w:p w14:paraId="10D452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闭幕会由大会主席团常务主席、执行主席赵乐际主持。大会主席团常务主席、执行主席李鸿忠、王东明、肖捷、郑建邦、丁仲礼、蔡达峰、何维、武维华、铁凝、彭清华、张庆伟、洛桑江村、雪克来提·扎克尔、刘奇在主席台执行主席席就座。</w:t>
      </w:r>
    </w:p>
    <w:p w14:paraId="49844EF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习近平、李强、王沪宁、蔡奇、丁薛祥、李希、韩正和大会主席团成员在主席台就座。</w:t>
      </w:r>
    </w:p>
    <w:p w14:paraId="4268B81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会议应出席代表2878人，出席2762人，缺席116人，出席人数符合法定人数。</w:t>
      </w:r>
    </w:p>
    <w:p w14:paraId="4489B8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下午3时，赵乐际宣布会议开始。</w:t>
      </w:r>
    </w:p>
    <w:p w14:paraId="0827C26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经表决，通过了十四届全国人大四次会议关于政府工作报告的决议。决议指出，会议高度评价“十四五”时期我国经济社会发展取得的重大成就，充分肯定国务院过去一年的工作，同意报告提出的“十五五”时期主要目标、重大任务和2026年工作部署，决定批准这个报告。</w:t>
      </w:r>
    </w:p>
    <w:p w14:paraId="5AECACD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表决通过了关于国民经济和社会发展第十五个五年规划纲要的决议。决议指出，会议同意全国人大财政经济委员会的审查结果报告，决定批准这个规划纲要。会议要求，“十五五”时期要全面贯彻习近平新时代中国特色社会主义思想，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FFF6B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会议经表决，通过了生态环境法典、民族团结进步促进法、国家发展规划法。生态环境法典自2026年8月15日起施行，民族团结进步促进法自2026年7月1日起施行，国家发展规划法自公布之日起施行。</w:t>
      </w:r>
    </w:p>
    <w:p w14:paraId="4C198F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表决通过了十四届全国人大四次会议关于2025年国民经济和社会发展计划执行情况与2026年国民经济和社会发展计划的决议，决定批准关于2025年国民经济和社会发展计划执行情况与2026年国民经济和社会发展计划草案的报告，批准2026年国民经济和社会发展计划；表决通过了十四届全国人大四次会议关于2025年中央和地方预算执行情况与2026年中央和地方预算的决议，决定批准关于2025年中央和地方预算执行情况与2026年中央和地方预算草案的报告，批准2026年中央预算。</w:t>
      </w:r>
    </w:p>
    <w:p w14:paraId="08CBC86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会议表决通过了十四届全国人大四次会议关于全国人大常委会工作报告的决议。决议指出，会议充分肯定全国人大常委会过去一年的工作，同意报告提出的今后一年的任务，决定批准这个报告。</w:t>
      </w:r>
    </w:p>
    <w:p w14:paraId="6AD4EA2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会议经表决，通过了十四届全国人大四次会议关于最高人民法院工作报告的决议、关于最高人民检察院工作报告的决议，决定批准这两个报告。</w:t>
      </w:r>
    </w:p>
    <w:p w14:paraId="66BC87F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会议表决通过了十四届全国人大四次会议关于批准全国人大常委会关于法律清理工作情况和有关法律和决定处理意见的报告的决定。</w:t>
      </w:r>
    </w:p>
    <w:p w14:paraId="25C6F5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随后，赵乐际发表讲话。他说，十四届全国人大四次会议圆满完成了各项议程。会议坚持发扬民主、集思广益，严格依法办事，形成广泛共识，是一次凝心聚力、真抓实干、团结奋进的大会。</w:t>
      </w:r>
    </w:p>
    <w:p w14:paraId="15A969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赵乐际指出，各位代表肩负党和人民重托，认真履行法定职责，审议批准政府工作报告等报告，审查批准国民经济和社会发展第十五个五年规划纲要和年度计划、预算，审议通过生态环境法典、民族团结进步促进法、国家发展规划法，会议成果体现了党的主张和人民意志的高度统一，彰显了在以习近平同志为核心的党中央坚强领导下团结奋斗、与时俱进把强国建设、民族复兴伟业不断推向前进的坚定信心和磅礴力量。</w:t>
      </w:r>
    </w:p>
    <w:p w14:paraId="35EEA6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赵乐际说，制定和实施五年规划，是中国共产党治国理政一条重要经验，是中国特色社会主义制度一个重要政治优势。“十五五”时期是基本实现社会主义现代化夯实基础、全面发力的关键时期，实施好“十五五”规划纲要具有重大意义。</w:t>
      </w:r>
    </w:p>
    <w:p w14:paraId="7C2425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赵乐际指出，我们要深入学习贯彻党的二十大和二十届历次全会精神，认真落实四中全会部署，深刻认识党中央关于“十五五”时期的战略定位，准确把握“十五五”时期经济社会发展的指导思想、重要原则、目标任务、政策举措，按照本次大会部署安排，扎实有效做好各项工作，坚定不移办好自己的事，努力实现“十五五”良好开局，一步一步把宏伟愿景变成美好现实。</w:t>
      </w:r>
    </w:p>
    <w:p w14:paraId="6922D7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赵乐际说，我们要立足人大职能职责，坚持党的领导、人民当家作主、依法治国有机统一，践行全过程人民民主，坚持好、完善好、运行好人民代表大会制度，切实发挥国家根本政治制度优势，认真履行宪法法律赋予的职责，为实现“十五五”目标任务提供法治保障；人大代表要忠实代表人民利益和意志，依法履职尽责，密切联系群众，在本职岗位上建功立业、作出贡献。</w:t>
      </w:r>
    </w:p>
    <w:p w14:paraId="63B6622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赵乐际指出，我们要更加紧密地团结在以习近平同志为核心的党中央周围，坚持用习近平新时代中国特色社会主义思想武装头脑、指导实践、推动工作，进一步增强“四个意识”、坚定“四个自信”、做到“两个维护”，同心同德，锐意进取，求真务实，努力为人民出政绩、以实干出政绩，不断开创中国式现代化建设新局面。</w:t>
      </w:r>
    </w:p>
    <w:p w14:paraId="068AAF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下午3时40分，赵乐际宣布：中华人民共和国第十四届全国人民代表大会第四次会议闭幕。大会在雄壮的国歌声中结束。</w:t>
      </w:r>
    </w:p>
    <w:p w14:paraId="493EED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在主席台就座的还有：王毅、尹力、石泰峰、刘国中、李干杰、李书磊、何立峰、张国清、陈文清、陈吉宁、陈敏尔、袁家军、黄坤明、刘金国、王小洪、张升民、吴政隆、谌贻琴、张军、应勇、胡春华、沈跃跃、王勇、周强、何厚铧、梁振英、巴特尔、苏辉、邵鸿、高云龙、穆虹、咸辉、王东峰、姜信治、蒋作君、何报翔、王光谦、秦博勇、朱永新、杨震等。</w:t>
      </w:r>
    </w:p>
    <w:p w14:paraId="519E14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中央和国家机关有关部门、解放军有关单位和武警部队、各人民团体有关负责人列席或旁听了大会。</w:t>
      </w:r>
    </w:p>
    <w:p w14:paraId="1E10D0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外国驻华使节旁听了大会。</w:t>
      </w:r>
    </w:p>
    <w:p w14:paraId="128FB4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67DE9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CD35A9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52477E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0BF831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69DF8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10F562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7E4B86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F573F9D">
      <w:pPr>
        <w:pStyle w:val="2"/>
        <w:bidi w:val="0"/>
        <w:rPr>
          <w:rFonts w:hint="eastAsia"/>
          <w:lang w:val="en-US" w:eastAsia="zh-CN"/>
        </w:rPr>
      </w:pPr>
      <w:bookmarkStart w:id="8" w:name="_Toc4517"/>
      <w:r>
        <w:rPr>
          <w:rFonts w:hint="eastAsia"/>
          <w:lang w:val="en-US" w:eastAsia="zh-CN"/>
        </w:rPr>
        <w:t>《求是》杂志发表习近平总书记重要文章《让愿担当、敢担当、善担当蔚然成风》</w:t>
      </w:r>
      <w:bookmarkEnd w:id="8"/>
    </w:p>
    <w:p w14:paraId="2EE8CE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新华社北京2月28日电</w:t>
      </w:r>
      <w:r>
        <w:rPr>
          <w:rFonts w:hint="eastAsia" w:ascii="仿宋" w:hAnsi="仿宋" w:eastAsia="仿宋" w:cs="仿宋"/>
          <w:color w:val="262626"/>
          <w:spacing w:val="17"/>
          <w:sz w:val="31"/>
          <w:szCs w:val="31"/>
          <w:lang w:val="en-US" w:eastAsia="zh-CN"/>
        </w:rPr>
        <w:t>  3月1日出版的第5期《求是》杂志将发表中共中央总书记、国家主席、中央军委主席习近平的重要文章《让愿担当、敢担当、善担当蔚然成风》。这是习近平总书记2012年12月至2025年12月期间有关重要论述的节录。</w:t>
      </w:r>
    </w:p>
    <w:p w14:paraId="54B6A8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文章强调，实干兴邦，空谈误国。把党的二十大描绘的宏伟蓝图变成美好现实，需要各级领导干部担当作为。新征程上，不可能都是平坦的大道，我们将会面对许多重大挑战、重大风险、重大阻力、重大矛盾，领导干部必须有强烈的担当精神。各级领导干部要以身许党、夙夜在公，以时时放心不下的责任感、积极担当作为的精气神为党和人民履好职、尽好责。</w:t>
      </w:r>
    </w:p>
    <w:p w14:paraId="6156FC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文章指出，干部敢于担当作为，这既是政治品格，也是从政本分。有多大担当才能干多大事业，尽多大责任才会有多大成就。不能只想当官不想干事，只想揽权不想担责，只想出彩不想出力。要以对党忠诚、为党分忧、为党尽职、为民造福的政治担当，以守土有责、守土负责、守土尽责的责任担当，面对大是大非敢于亮剑，面对矛盾敢于迎难而上，面对危机敢于挺身而出，面对失误敢于承担责任，面对歪风邪气敢于坚决斗争。领导干部要在其位、谋其政、尽其责，在职责范围内主动担重、担难。坚持党性原则，是非分明、敢于斗争，在重大问题、原则问题上旗帜鲜明。</w:t>
      </w:r>
    </w:p>
    <w:p w14:paraId="429208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文章指出，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党的纪律和干事创业是内在统一的。遵规守纪，就会拥有干事创业的充分自由和广阔空间。要正确处理干净和担当的关系，把干净和担当、勤政和廉政统一起来，勇于挑重担子、啃硬骨头、接烫手山芋。</w:t>
      </w:r>
    </w:p>
    <w:p w14:paraId="0F839A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文章指出，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组织敢于担当，干部才会有底气。要敢于为担当者担当、为负责者负责、为干事者撑腰，坚持严管和厚爱相结合，落实“三个区分开来”，着力消除妨碍干部担当作为的各种因素。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让愿担当、敢担当、善担当蔚然成风。</w:t>
      </w:r>
    </w:p>
    <w:p w14:paraId="117F5B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09D4C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7B30D4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33883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E5969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3C889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2AA7FCA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6068C1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2C1D1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E1237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6452DC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4E3663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5590E1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3AEE95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705249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09EA22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7A4D84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p w14:paraId="6DF5073C">
      <w:pPr>
        <w:pStyle w:val="2"/>
        <w:bidi w:val="0"/>
        <w:rPr>
          <w:rFonts w:hint="eastAsia"/>
          <w:lang w:val="en-US" w:eastAsia="zh-CN"/>
        </w:rPr>
      </w:pPr>
      <w:bookmarkStart w:id="9" w:name="_Toc29826"/>
      <w:r>
        <w:rPr>
          <w:rFonts w:hint="eastAsia"/>
          <w:lang w:val="en-US" w:eastAsia="zh-CN"/>
        </w:rPr>
        <w:t>中办印发《通知》在全党开展树立和践行正确政绩观学习教育</w:t>
      </w:r>
      <w:bookmarkEnd w:id="9"/>
    </w:p>
    <w:p w14:paraId="5BD5F6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新华社北京2月23日电</w:t>
      </w:r>
      <w:r>
        <w:rPr>
          <w:rFonts w:hint="eastAsia" w:ascii="仿宋" w:hAnsi="仿宋" w:eastAsia="仿宋" w:cs="仿宋"/>
          <w:color w:val="262626"/>
          <w:spacing w:val="17"/>
          <w:sz w:val="31"/>
          <w:szCs w:val="31"/>
          <w:lang w:val="en-US" w:eastAsia="zh-CN"/>
        </w:rPr>
        <w:t>  近日，中共中央办公厅印发《关于在全党开展树立和践行正确政绩观学习教育的通知》（以下简称《通知》）。</w:t>
      </w:r>
    </w:p>
    <w:p w14:paraId="09C777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通知》指出，经党中央同意，在全党开展树立和践行正确政绩观学习教育（以下简称学习教育）。学习教育以县处级以上领导班子和领导干部特别是“一把手”为重点，于2026年春节假期后启动、7月底基本结束。</w:t>
      </w:r>
    </w:p>
    <w:p w14:paraId="33BE94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14:paraId="014E08C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14:paraId="2A77CE0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p>
    <w:p w14:paraId="43ECC264">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仿宋" w:hAnsi="仿宋" w:eastAsia="仿宋" w:cs="仿宋"/>
          <w:color w:val="262626"/>
          <w:spacing w:val="17"/>
          <w:sz w:val="31"/>
          <w:szCs w:val="31"/>
          <w:lang w:val="en-US" w:eastAsia="zh-CN"/>
        </w:rPr>
      </w:pPr>
    </w:p>
    <w:p w14:paraId="008505A0">
      <w:pPr>
        <w:pStyle w:val="2"/>
        <w:bidi w:val="0"/>
        <w:rPr>
          <w:rFonts w:hint="eastAsia"/>
        </w:rPr>
      </w:pPr>
      <w:r>
        <w:rPr>
          <w:rFonts w:hint="eastAsia"/>
        </w:rPr>
        <w:t>　</w:t>
      </w:r>
      <w:bookmarkStart w:id="10" w:name="_Toc19297"/>
      <w:r>
        <w:rPr>
          <w:rFonts w:hint="eastAsia"/>
        </w:rPr>
        <w:t>“十五五”开局，教育向“新”而行</w:t>
      </w:r>
      <w:bookmarkEnd w:id="10"/>
    </w:p>
    <w:p w14:paraId="508D5FAC">
      <w:pPr>
        <w:pStyle w:val="2"/>
        <w:bidi w:val="0"/>
        <w:rPr>
          <w:rFonts w:hint="eastAsia"/>
        </w:rPr>
      </w:pPr>
      <w:bookmarkStart w:id="11" w:name="_Toc22994"/>
      <w:r>
        <w:rPr>
          <w:rFonts w:hint="eastAsia"/>
        </w:rPr>
        <w:t>——从全国两会看“十五五”时期教育新使命</w:t>
      </w:r>
      <w:bookmarkEnd w:id="11"/>
    </w:p>
    <w:p w14:paraId="427E7D7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2026年全国两会，站在特殊的历史节点上。</w:t>
      </w:r>
    </w:p>
    <w:p w14:paraId="2792C9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“十四五”圆满收官，“十五五”大幕开启。我国进入基本实现社会主义现代化夯实基础、全面发力的关键时期，向着新的高峰开始攀登。</w:t>
      </w:r>
    </w:p>
    <w:p w14:paraId="72DFDC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今年全国两会，“十五五”规划纲要、政府工作报告等各项报告中，关于教育的成绩振奋人心，关于教育的部署浓墨重彩，激荡着教育高质量发展的澎湃动能。</w:t>
      </w:r>
    </w:p>
    <w:p w14:paraId="2D7DEE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代表委员信心满怀：要凝心聚力、砥砺奋进，为推动实现“十五五”良好开局作出更大的教育贡献。</w:t>
      </w:r>
    </w:p>
    <w:p w14:paraId="691456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看大势“定盘”新五年</w:t>
      </w:r>
    </w:p>
    <w:p w14:paraId="0ED1520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“制定实施五年规划是国家制度安排，是中国共产党治国理政的重要经验。”3月5日下午，习近平总书记参加十四届全国人大四次会议江苏代表团审议时强调。</w:t>
      </w:r>
    </w:p>
    <w:p w14:paraId="26EFFD2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“十五五”规划纲要清晰铺展未来五年中国式现代化的壮丽图景，教育的使命艰巨、任务光荣。政府工作报告对2026年教育工作任务进行部署，确保“十五五”良好开局。</w:t>
      </w:r>
    </w:p>
    <w:p w14:paraId="3E2597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代表委员深入讨论“十五五”规划纲要、政府工作报告，凝聚开局共识。</w:t>
      </w:r>
    </w:p>
    <w:p w14:paraId="0066BAC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是一体推进教育科技人才发展的责任担当——</w:t>
      </w:r>
    </w:p>
    <w:p w14:paraId="6A7DC2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全国政协常委、中国科学院院士、南京大学党委书记谭铁牛说：“高水平研究型大学要强化基础研究战略性、前瞻性、体系化布局，聚焦国际科技前沿和国家战略需求产出更多原创成果。统筹推进育人方式、办学模式、管理体制改革，有针对性培养国家战略人才和急需紧缺人才。”</w:t>
      </w:r>
    </w:p>
    <w:p w14:paraId="455096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是深化教育综合改革的持续探索——</w:t>
      </w:r>
    </w:p>
    <w:p w14:paraId="2BA99F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全国政协委员、北京师范大学党委书记程建平表示，学校将紧扣“十五五”时期发展目标任务，以深化教育综合改革为契机，系统推进教师教育体系改革创新，聚力打造强师新范本，全面开创“强师工程”新局面，回答好“教育强国，师范何为”的时代命题，为教育强国建设注入源源不断的高素质专业化师资力量。</w:t>
      </w:r>
    </w:p>
    <w:p w14:paraId="4DF855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是推动教育公平与质量的久久为功——</w:t>
      </w:r>
    </w:p>
    <w:p w14:paraId="077736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十五五’规划纲要对基础教育提出了一系列‘扩优提质’的硬指标与新方向。这些都是建设教育强国的关键举措，对于优化教育结构、促进教育公平、服务人口高质量发展具有重要意义。”全国政协委员、江苏省泰州市姜堰区实验小学教育集团校长高金凤说。</w:t>
      </w:r>
    </w:p>
    <w:p w14:paraId="381748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3月7日，教育部部长怀进鹏出席十四届全国人大四次会议民生主题记者会。记者会上，教育“十五五”工作成为关注焦点。</w:t>
      </w:r>
    </w:p>
    <w:p w14:paraId="1FDD06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我们将围绕全面构建公平优质的基础教育体系，实施基础教育重大工程。”“我们将大力推动高校从注重学科发展向服务国家使命转变，深度融入国家现代化发展大局。”基础教育改革重点任务、高等教育发展导向，怀进鹏一一道来。</w:t>
      </w:r>
    </w:p>
    <w:p w14:paraId="5E24437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共谋关键之举，凝心聚力攻坚。</w:t>
      </w:r>
    </w:p>
    <w:p w14:paraId="3DBAF5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教育系统深刻认识教育战略地位，踏上新征程，开启新篇章。</w:t>
      </w:r>
    </w:p>
    <w:p w14:paraId="26F06E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看创新“催生”新风口</w:t>
      </w:r>
    </w:p>
    <w:p w14:paraId="15D541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向“新”而行，以“质”致远。</w:t>
      </w:r>
    </w:p>
    <w:p w14:paraId="239BF6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当前，大国之间的竞争主要体现为教育、科技、人才的竞争，谁能够更大程度地释放创新动能，谁就能够更快地催生新质生产力，引领世界发展。</w:t>
      </w:r>
    </w:p>
    <w:p w14:paraId="4BF2787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习近平总书记在参加江苏代表团审议时，深刻揭示发展新质生产力的重要意义，对一体推进教育科技人才发展、推动科技成果高效转化应用等提出要求。</w:t>
      </w:r>
    </w:p>
    <w:p w14:paraId="745EEB1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开局之年、关键节点，习近平总书记多次就未来产业作出重要部署。</w:t>
      </w:r>
    </w:p>
    <w:p w14:paraId="13EBDF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今年1月，中共中央政治局开年第一次集体学习，习近平总书记作出重要论断：“要站在推进强国建设、民族复兴伟业的战略高度，立足客观条件，发挥比较优势，坚持稳中求进、梯度培育，推动我国未来产业发展不断取得新突破。”在江苏代表团审议时，习近平总书记再次强调未来产业发展。</w:t>
      </w:r>
    </w:p>
    <w:p w14:paraId="0E292E4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面对时代的召唤，教育必须作出更多更好的贡献。</w:t>
      </w:r>
    </w:p>
    <w:p w14:paraId="6A9EB8B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教育、科技、人才是新质生产力的重要支撑。如何把习近平总书记的重要指示要求落到实处？教育系统的代表委员结合实践，建言献策。</w:t>
      </w:r>
    </w:p>
    <w:p w14:paraId="5FCF215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近年来，上海交通大学深度对接上海“2+3+6+6”现代化产业体系，构建“产业布局为横轴、学科建设为纵轴”的矩阵式改革地图，通过“价值闭环”和“学科交叉”两大核心举措，实现学科发展与产业需求同频共振。</w:t>
      </w:r>
    </w:p>
    <w:p w14:paraId="0280BEF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“高校创新要‘变着法子干’，学科重塑是根本抓手。学科建设既要为产业创造实际价值，也要依托产业反哺实现可持续发展。”全国人大代表、中国科学院院士、上海交通大学校长丁奎岭说。</w:t>
      </w:r>
    </w:p>
    <w:p w14:paraId="662FF3E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全国政协委员、中国工程院院士、中国石油大学（北京）油气资源与工程全国重点实验室主任李根生带领团队长期在新疆开展科研合作，为西部培养人才。油田的技术需求让科研成果有了更多落地转化的场景，也让科研工作者看到了和西部共同成长发展的机遇。</w:t>
      </w:r>
    </w:p>
    <w:p w14:paraId="26FA61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人才集聚的新态势，根源在于西部自身的发展潜力——如今的西部早已不是‘人才洼地’，而是为人才提供广阔舞台的‘价值高地’。”李根生期盼，有更多年轻人强化“去了能成才”的底气，把专业训练、实践能力、创新精神培养做实，带着真本领、硬功夫走向西部。</w:t>
      </w:r>
    </w:p>
    <w:p w14:paraId="13E0F0D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面向“十五五”，未来产业的爆发式增长正在对人才供给提出全新要求。</w:t>
      </w:r>
    </w:p>
    <w:p w14:paraId="464492D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作为中国最早一批投身脑机接口领域的研究者之一，全国政协委员，天津大学副校长、脑机海河实验室主任明东对此感受深刻：“对脑机接口未来产业而言，我们目前最缺乏的不是场景，不是资金，而是源源不断的人才供给和相关技术链的成熟。随着未来产业的快速崛起，专业建设必须摆脱‘追着产业跑’的被动局面，转向‘牵着产业飞’的主动引领。”</w:t>
      </w:r>
    </w:p>
    <w:p w14:paraId="0A076D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立足当下，着眼长远。</w:t>
      </w:r>
    </w:p>
    <w:p w14:paraId="280E46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教育，正在为中国式现代化注入持久的澎湃动力。</w:t>
      </w:r>
    </w:p>
    <w:p w14:paraId="5FD64E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hint="eastAsia" w:ascii="仿宋" w:hAnsi="仿宋" w:eastAsia="仿宋" w:cs="仿宋"/>
          <w:b/>
          <w:bCs/>
          <w:color w:val="262626"/>
          <w:spacing w:val="17"/>
          <w:sz w:val="31"/>
          <w:szCs w:val="31"/>
          <w:lang w:val="en-US" w:eastAsia="zh-CN"/>
        </w:rPr>
      </w:pPr>
      <w:r>
        <w:rPr>
          <w:rFonts w:hint="eastAsia" w:ascii="仿宋" w:hAnsi="仿宋" w:eastAsia="仿宋" w:cs="仿宋"/>
          <w:b/>
          <w:bCs/>
          <w:color w:val="262626"/>
          <w:spacing w:val="17"/>
          <w:sz w:val="31"/>
          <w:szCs w:val="31"/>
          <w:lang w:val="en-US" w:eastAsia="zh-CN"/>
        </w:rPr>
        <w:t>看民生升级“满意度”</w:t>
      </w:r>
    </w:p>
    <w:p w14:paraId="24250C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开春以来，“健康第一”成为教育热点话题。话题讨论的热度、广度，一直延伸到今年两会之上。</w:t>
      </w:r>
    </w:p>
    <w:p w14:paraId="55FA75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记者会上，怀进鹏在回答“健康第一”有关问题时表示：“我们将深入开展学生体质强健行动，通过‘晒课表’等方式，加强跟踪评价，确保‘2小时’‘课间15分钟’落到每所学校，让每个学生受益。”</w:t>
      </w:r>
    </w:p>
    <w:p w14:paraId="417E55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“青少年是国家的未来、民族的希望。把‘健康第一’融入育人的全过程、各方面，释放出更加关注育人本质的鲜明导向。”代表委员们纷纷为此点赞。</w:t>
      </w:r>
    </w:p>
    <w:p w14:paraId="2971A7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政府工作报告在“更大力度保障和改善民生”部分提出，推动教育公平与质量提升；“十五五”规划纲要提出，办好人民满意的教育。</w:t>
      </w:r>
    </w:p>
    <w:p w14:paraId="203EE3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又何止是“健康第一”？教育，连着千家万户的期盼，关系每一名青少年儿童的健康成长。两会期间，教育资源配置、“校园餐”安全、中小学春秋假、未成年人司法保护……一个个话题在小组讨论的现场引发热烈讨论。</w:t>
      </w:r>
    </w:p>
    <w:p w14:paraId="7BC908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“政府工作报告提出的有关举措，条条都在回应民生期待，都是群众的急难愁盼。”全国人大代表、山东省临沂北城小学教师张淑琴特别关注“增加普通高中学位供给”，她期待中央财政对此加大投入力度。</w:t>
      </w:r>
    </w:p>
    <w:p w14:paraId="3070BD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两高’工作报告中提到的网络暴力、校园欺凌、新型毒品犯罪等，与青少年的成长环境密切相关。我们要创新普法教育模式，用多种形式以案释法，让法律的威严和公正内化为学生的行为准则。”全国政协委员、广东工业大学教授李丽娟说。</w:t>
      </w:r>
    </w:p>
    <w:p w14:paraId="5A4E31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实干为民，实干兴邦。新开局必当展现新作为。</w:t>
      </w:r>
    </w:p>
    <w:p w14:paraId="7A90867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只有认真组织开展树立和践行正确政绩观学习教育，落实好“立党为公、为民造福、科学决策、真抓实干”总要求，才能创造经得起实践、人民、历史检验的实绩。</w:t>
      </w:r>
    </w:p>
    <w:p w14:paraId="5F354EF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今年2月，甘肃省临夏县中学完成了从“一校两区”到“两区独立办学”的转型，更多学生将能够在家门口上好高中。</w:t>
      </w:r>
    </w:p>
    <w:p w14:paraId="2A4208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全国人大代表、临夏开放大学副校长董彩云为家乡教育的每一个变化欣喜。她常年为家乡教育发展鼓与呼，过去一年，她走了2万公里调研路，清楚记录下师资配备、学位供给、教师待遇等急难愁盼问题。</w:t>
      </w:r>
    </w:p>
    <w:p w14:paraId="4D58A4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董彩云说：“群众选我当代表，就是把期盼托付给我。2026年是‘十五五’开局之年，我会继续用心履职尽责，为民族地区高质量发展贡献力量。”</w:t>
      </w:r>
    </w:p>
    <w:p w14:paraId="2F57D88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r>
        <w:rPr>
          <w:rFonts w:hint="eastAsia" w:ascii="仿宋" w:hAnsi="仿宋" w:eastAsia="仿宋" w:cs="仿宋"/>
          <w:color w:val="262626"/>
          <w:spacing w:val="17"/>
          <w:sz w:val="31"/>
          <w:szCs w:val="31"/>
          <w:lang w:val="en-US" w:eastAsia="zh-CN"/>
        </w:rPr>
        <w:t>随着全国两会的胜利闭幕，教育系统的代表委员们纷纷踏上返程之路。他们将把两会传递的信心力量、奏响的时代强音，带到课堂里、研讨中，和全体干部师生在催人奋进的号角中书写教育强国建设的新篇章。</w:t>
      </w:r>
    </w:p>
    <w:p w14:paraId="16A62F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color w:val="262626"/>
          <w:spacing w:val="17"/>
          <w:sz w:val="31"/>
          <w:szCs w:val="31"/>
          <w:lang w:val="en-US" w:eastAsia="zh-CN"/>
        </w:rPr>
      </w:pPr>
    </w:p>
    <w:sectPr>
      <w:footerReference r:id="rId5" w:type="default"/>
      <w:pgSz w:w="11907" w:h="16839"/>
      <w:pgMar w:top="1431" w:right="1482" w:bottom="1402" w:left="1521" w:header="0" w:footer="120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9429">
    <w:pPr>
      <w:spacing w:line="220"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E4AB8">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AE4AB8">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25712C6"/>
    <w:rsid w:val="155F79D7"/>
    <w:rsid w:val="18E1341B"/>
    <w:rsid w:val="1F4C7E66"/>
    <w:rsid w:val="2C772889"/>
    <w:rsid w:val="30CA4CB3"/>
    <w:rsid w:val="343A12B1"/>
    <w:rsid w:val="3A585A70"/>
    <w:rsid w:val="438E56E3"/>
    <w:rsid w:val="47C44F56"/>
    <w:rsid w:val="49567D19"/>
    <w:rsid w:val="4DC07F2D"/>
    <w:rsid w:val="4F8A149D"/>
    <w:rsid w:val="53026A36"/>
    <w:rsid w:val="53356BBA"/>
    <w:rsid w:val="5C61531C"/>
    <w:rsid w:val="5FD81F33"/>
    <w:rsid w:val="62004FA2"/>
    <w:rsid w:val="64A96A2B"/>
    <w:rsid w:val="6A9C4269"/>
    <w:rsid w:val="6B6D21C1"/>
    <w:rsid w:val="72962B51"/>
    <w:rsid w:val="76622145"/>
    <w:rsid w:val="7D852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21529</Words>
  <Characters>21835</Characters>
  <TotalTime>0</TotalTime>
  <ScaleCrop>false</ScaleCrop>
  <LinksUpToDate>false</LinksUpToDate>
  <CharactersWithSpaces>21867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WPS_1757464463</cp:lastModifiedBy>
  <cp:lastPrinted>2025-12-04T07:41:00Z</cp:lastPrinted>
  <dcterms:modified xsi:type="dcterms:W3CDTF">2026-04-16T09:59:10Z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eyJoZGlkIjoiYjQ0OGVmNzc3ZDcyNzQ3NjE5MGQxYzFmZTBmZTVkMjYiLCJ1c2VySWQiOiIxNzQwODMxMzU1In0=</vt:lpwstr>
  </property>
  <property fmtid="{D5CDD505-2E9C-101B-9397-08002B2CF9AE}" pid="5" name="KSOProductBuildVer">
    <vt:lpwstr>2052-12.1.0.25225</vt:lpwstr>
  </property>
  <property fmtid="{D5CDD505-2E9C-101B-9397-08002B2CF9AE}" pid="6" name="ICV">
    <vt:lpwstr>9A12D8A699B44DB48D8FD61AE303483E_13</vt:lpwstr>
  </property>
</Properties>
</file>