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A8A8E">
      <w:pPr>
        <w:spacing w:line="85" w:lineRule="exact"/>
      </w:pPr>
    </w:p>
    <w:p w14:paraId="57632818">
      <w:pPr>
        <w:spacing w:line="85" w:lineRule="exact"/>
        <w:sectPr>
          <w:pgSz w:w="11907" w:h="16839"/>
          <w:pgMar w:top="1431" w:right="570" w:bottom="0" w:left="1432" w:header="0" w:footer="0" w:gutter="0"/>
          <w:pgNumType w:fmt="decimal"/>
          <w:cols w:equalWidth="0" w:num="1">
            <w:col w:w="9903"/>
          </w:cols>
        </w:sectPr>
      </w:pPr>
    </w:p>
    <w:p w14:paraId="650132FE">
      <w:pPr>
        <w:pStyle w:val="3"/>
        <w:spacing w:before="162" w:line="12869" w:lineRule="exact"/>
      </w:pPr>
      <w:r>
        <w:rPr>
          <w:position w:val="-257"/>
        </w:rPr>
        <w:pict>
          <v:shape id="_x0000_s1026" o:spid="_x0000_s1026" o:spt="202" type="#_x0000_t202" style="height:643.45pt;width:124.2pt;" fillcolor="#FF0000" filled="t" stroked="f" coordsize="21600,21600">
            <v:path/>
            <v:fill on="t" focussize="0,0"/>
            <v:stroke on="f"/>
            <v:imagedata o:title=""/>
            <o:lock v:ext="edit" aspectratio="f"/>
            <v:textbox inset="0mm,0mm,0mm,0mm" style="layout-flow:vertical-ideographic;">
              <w:txbxContent>
                <w:p w14:paraId="3E9885F4">
                  <w:pPr>
                    <w:spacing w:line="242" w:lineRule="auto"/>
                    <w:rPr>
                      <w:rFonts w:ascii="Arial"/>
                      <w:sz w:val="21"/>
                    </w:rPr>
                  </w:pPr>
                </w:p>
                <w:p w14:paraId="107C804A">
                  <w:pPr>
                    <w:spacing w:line="242" w:lineRule="auto"/>
                    <w:rPr>
                      <w:rFonts w:ascii="Arial"/>
                      <w:sz w:val="21"/>
                    </w:rPr>
                  </w:pPr>
                </w:p>
                <w:p w14:paraId="48CA589D">
                  <w:pPr>
                    <w:spacing w:before="389" w:line="180" w:lineRule="auto"/>
                    <w:ind w:left="878"/>
                    <w:rPr>
                      <w:rFonts w:ascii="微软雅黑" w:hAnsi="微软雅黑" w:eastAsia="微软雅黑" w:cs="微软雅黑"/>
                      <w:sz w:val="88"/>
                      <w:szCs w:val="88"/>
                    </w:rPr>
                  </w:pPr>
                  <w:bookmarkStart w:id="7" w:name="bookmark1"/>
                  <w:bookmarkEnd w:id="7"/>
                  <w:r>
                    <w:rPr>
                      <w:rFonts w:ascii="微软雅黑" w:hAnsi="微软雅黑" w:eastAsia="微软雅黑" w:cs="微软雅黑"/>
                      <w:b/>
                      <w:bCs/>
                      <w:color w:val="FFFFFF"/>
                      <w:spacing w:val="4"/>
                      <w:sz w:val="88"/>
                      <w:szCs w:val="88"/>
                    </w:rPr>
                    <w:t>理</w:t>
                  </w:r>
                  <w:r>
                    <w:rPr>
                      <w:rFonts w:ascii="微软雅黑" w:hAnsi="微软雅黑" w:eastAsia="微软雅黑" w:cs="微软雅黑"/>
                      <w:b/>
                      <w:bCs/>
                      <w:color w:val="FFFFFF"/>
                      <w:spacing w:val="194"/>
                      <w:sz w:val="88"/>
                      <w:szCs w:val="88"/>
                    </w:rPr>
                    <w:t xml:space="preserve"> </w:t>
                  </w:r>
                  <w:r>
                    <w:rPr>
                      <w:rFonts w:ascii="微软雅黑" w:hAnsi="微软雅黑" w:eastAsia="微软雅黑" w:cs="微软雅黑"/>
                      <w:b/>
                      <w:bCs/>
                      <w:color w:val="FFFFFF"/>
                      <w:spacing w:val="4"/>
                      <w:sz w:val="88"/>
                      <w:szCs w:val="88"/>
                    </w:rPr>
                    <w:t>论</w:t>
                  </w:r>
                  <w:r>
                    <w:rPr>
                      <w:rFonts w:ascii="微软雅黑" w:hAnsi="微软雅黑" w:eastAsia="微软雅黑" w:cs="微软雅黑"/>
                      <w:b/>
                      <w:bCs/>
                      <w:color w:val="FFFFFF"/>
                      <w:spacing w:val="147"/>
                      <w:sz w:val="88"/>
                      <w:szCs w:val="88"/>
                    </w:rPr>
                    <w:t xml:space="preserve"> </w:t>
                  </w:r>
                  <w:r>
                    <w:rPr>
                      <w:rFonts w:ascii="微软雅黑" w:hAnsi="微软雅黑" w:eastAsia="微软雅黑" w:cs="微软雅黑"/>
                      <w:b/>
                      <w:bCs/>
                      <w:color w:val="FFFFFF"/>
                      <w:spacing w:val="4"/>
                      <w:sz w:val="88"/>
                      <w:szCs w:val="88"/>
                    </w:rPr>
                    <w:t>中</w:t>
                  </w:r>
                  <w:r>
                    <w:rPr>
                      <w:rFonts w:ascii="微软雅黑" w:hAnsi="微软雅黑" w:eastAsia="微软雅黑" w:cs="微软雅黑"/>
                      <w:b/>
                      <w:bCs/>
                      <w:color w:val="FFFFFF"/>
                      <w:spacing w:val="164"/>
                      <w:sz w:val="88"/>
                      <w:szCs w:val="88"/>
                    </w:rPr>
                    <w:t xml:space="preserve"> </w:t>
                  </w:r>
                  <w:r>
                    <w:rPr>
                      <w:rFonts w:ascii="微软雅黑" w:hAnsi="微软雅黑" w:eastAsia="微软雅黑" w:cs="微软雅黑"/>
                      <w:b/>
                      <w:bCs/>
                      <w:color w:val="FFFFFF"/>
                      <w:spacing w:val="4"/>
                      <w:sz w:val="88"/>
                      <w:szCs w:val="88"/>
                    </w:rPr>
                    <w:t>心</w:t>
                  </w:r>
                  <w:r>
                    <w:rPr>
                      <w:rFonts w:ascii="微软雅黑" w:hAnsi="微软雅黑" w:eastAsia="微软雅黑" w:cs="微软雅黑"/>
                      <w:b/>
                      <w:bCs/>
                      <w:color w:val="FFFFFF"/>
                      <w:spacing w:val="141"/>
                      <w:sz w:val="88"/>
                      <w:szCs w:val="88"/>
                    </w:rPr>
                    <w:t xml:space="preserve"> </w:t>
                  </w:r>
                  <w:r>
                    <w:rPr>
                      <w:rFonts w:ascii="微软雅黑" w:hAnsi="微软雅黑" w:eastAsia="微软雅黑" w:cs="微软雅黑"/>
                      <w:b/>
                      <w:bCs/>
                      <w:color w:val="FFFFFF"/>
                      <w:spacing w:val="4"/>
                      <w:sz w:val="88"/>
                      <w:szCs w:val="88"/>
                    </w:rPr>
                    <w:t>组</w:t>
                  </w:r>
                  <w:r>
                    <w:rPr>
                      <w:rFonts w:ascii="微软雅黑" w:hAnsi="微软雅黑" w:eastAsia="微软雅黑" w:cs="微软雅黑"/>
                      <w:b/>
                      <w:bCs/>
                      <w:color w:val="FFFFFF"/>
                      <w:spacing w:val="160"/>
                      <w:sz w:val="88"/>
                      <w:szCs w:val="88"/>
                    </w:rPr>
                    <w:t xml:space="preserve"> </w:t>
                  </w:r>
                  <w:r>
                    <w:rPr>
                      <w:rFonts w:ascii="微软雅黑" w:hAnsi="微软雅黑" w:eastAsia="微软雅黑" w:cs="微软雅黑"/>
                      <w:b/>
                      <w:bCs/>
                      <w:color w:val="FFFFFF"/>
                      <w:spacing w:val="4"/>
                      <w:sz w:val="88"/>
                      <w:szCs w:val="88"/>
                    </w:rPr>
                    <w:t>学</w:t>
                  </w:r>
                  <w:r>
                    <w:rPr>
                      <w:rFonts w:ascii="微软雅黑" w:hAnsi="微软雅黑" w:eastAsia="微软雅黑" w:cs="微软雅黑"/>
                      <w:b/>
                      <w:bCs/>
                      <w:color w:val="FFFFFF"/>
                      <w:spacing w:val="155"/>
                      <w:sz w:val="88"/>
                      <w:szCs w:val="88"/>
                    </w:rPr>
                    <w:t xml:space="preserve"> </w:t>
                  </w:r>
                  <w:r>
                    <w:rPr>
                      <w:rFonts w:ascii="微软雅黑" w:hAnsi="微软雅黑" w:eastAsia="微软雅黑" w:cs="微软雅黑"/>
                      <w:b/>
                      <w:bCs/>
                      <w:color w:val="FFFFFF"/>
                      <w:spacing w:val="4"/>
                      <w:sz w:val="88"/>
                      <w:szCs w:val="88"/>
                    </w:rPr>
                    <w:t>习</w:t>
                  </w:r>
                  <w:r>
                    <w:rPr>
                      <w:rFonts w:ascii="微软雅黑" w:hAnsi="微软雅黑" w:eastAsia="微软雅黑" w:cs="微软雅黑"/>
                      <w:b/>
                      <w:bCs/>
                      <w:color w:val="FFFFFF"/>
                      <w:spacing w:val="140"/>
                      <w:sz w:val="88"/>
                      <w:szCs w:val="88"/>
                    </w:rPr>
                    <w:t xml:space="preserve"> </w:t>
                  </w:r>
                  <w:r>
                    <w:rPr>
                      <w:rFonts w:ascii="微软雅黑" w:hAnsi="微软雅黑" w:eastAsia="微软雅黑" w:cs="微软雅黑"/>
                      <w:b/>
                      <w:bCs/>
                      <w:color w:val="FFFFFF"/>
                      <w:spacing w:val="4"/>
                      <w:sz w:val="88"/>
                      <w:szCs w:val="88"/>
                    </w:rPr>
                    <w:t>材</w:t>
                  </w:r>
                  <w:r>
                    <w:rPr>
                      <w:rFonts w:ascii="微软雅黑" w:hAnsi="微软雅黑" w:eastAsia="微软雅黑" w:cs="微软雅黑"/>
                      <w:b/>
                      <w:bCs/>
                      <w:color w:val="FFFFFF"/>
                      <w:spacing w:val="149"/>
                      <w:sz w:val="88"/>
                      <w:szCs w:val="88"/>
                    </w:rPr>
                    <w:t xml:space="preserve"> </w:t>
                  </w:r>
                  <w:r>
                    <w:rPr>
                      <w:rFonts w:ascii="微软雅黑" w:hAnsi="微软雅黑" w:eastAsia="微软雅黑" w:cs="微软雅黑"/>
                      <w:b/>
                      <w:bCs/>
                      <w:color w:val="FFFFFF"/>
                      <w:spacing w:val="4"/>
                      <w:sz w:val="88"/>
                      <w:szCs w:val="88"/>
                    </w:rPr>
                    <w:t>料</w:t>
                  </w:r>
                </w:p>
                <w:p w14:paraId="75B62011">
                  <w:pPr>
                    <w:spacing w:before="388" w:line="177" w:lineRule="auto"/>
                    <w:rPr>
                      <w:rFonts w:ascii="微软雅黑" w:hAnsi="微软雅黑" w:eastAsia="微软雅黑" w:cs="微软雅黑"/>
                      <w:sz w:val="88"/>
                      <w:szCs w:val="88"/>
                    </w:rPr>
                  </w:pPr>
                </w:p>
              </w:txbxContent>
            </v:textbox>
            <w10:wrap type="none"/>
            <w10:anchorlock/>
          </v:shape>
        </w:pict>
      </w:r>
    </w:p>
    <w:p w14:paraId="794522ED">
      <w:pPr>
        <w:spacing w:line="14" w:lineRule="auto"/>
        <w:rPr>
          <w:rFonts w:ascii="Arial"/>
          <w:sz w:val="2"/>
        </w:rPr>
      </w:pPr>
      <w:r>
        <w:rPr>
          <w:rFonts w:ascii="Arial" w:hAnsi="Arial" w:eastAsia="Arial" w:cs="Arial"/>
          <w:sz w:val="2"/>
          <w:szCs w:val="2"/>
        </w:rPr>
        <w:br w:type="column"/>
      </w:r>
    </w:p>
    <w:p w14:paraId="490CE356">
      <w:pPr>
        <w:pStyle w:val="3"/>
        <w:spacing w:before="324" w:line="212" w:lineRule="auto"/>
        <w:ind w:left="1900"/>
        <w:rPr>
          <w:sz w:val="40"/>
          <w:szCs w:val="40"/>
        </w:rPr>
      </w:pPr>
      <w:r>
        <w:rPr>
          <w:spacing w:val="-28"/>
          <w:sz w:val="40"/>
          <w:szCs w:val="40"/>
        </w:rPr>
        <w:t>202</w:t>
      </w:r>
      <w:r>
        <w:rPr>
          <w:rFonts w:hint="eastAsia"/>
          <w:spacing w:val="-28"/>
          <w:sz w:val="40"/>
          <w:szCs w:val="40"/>
          <w:lang w:val="en-US" w:eastAsia="zh-CN"/>
        </w:rPr>
        <w:t>6</w:t>
      </w:r>
      <w:r>
        <w:rPr>
          <w:spacing w:val="-28"/>
          <w:sz w:val="40"/>
          <w:szCs w:val="40"/>
        </w:rPr>
        <w:t xml:space="preserve"> 年</w:t>
      </w:r>
      <w:r>
        <w:rPr>
          <w:rFonts w:hint="eastAsia"/>
          <w:spacing w:val="-28"/>
          <w:sz w:val="40"/>
          <w:szCs w:val="40"/>
          <w:lang w:val="en-US" w:eastAsia="zh-CN"/>
        </w:rPr>
        <w:t xml:space="preserve"> 1 </w:t>
      </w:r>
      <w:r>
        <w:rPr>
          <w:spacing w:val="-28"/>
          <w:sz w:val="40"/>
          <w:szCs w:val="40"/>
        </w:rPr>
        <w:t>月</w:t>
      </w:r>
      <w:r>
        <w:rPr>
          <w:rFonts w:hint="eastAsia"/>
          <w:spacing w:val="-28"/>
          <w:sz w:val="40"/>
          <w:szCs w:val="40"/>
          <w:lang w:val="en-US" w:eastAsia="zh-CN"/>
        </w:rPr>
        <w:t xml:space="preserve"> 22 </w:t>
      </w:r>
      <w:r>
        <w:rPr>
          <w:spacing w:val="-28"/>
          <w:sz w:val="40"/>
          <w:szCs w:val="40"/>
        </w:rPr>
        <w:t>日</w:t>
      </w:r>
    </w:p>
    <w:p w14:paraId="780DF913">
      <w:pPr>
        <w:pStyle w:val="3"/>
        <w:spacing w:before="218" w:line="207" w:lineRule="auto"/>
        <w:ind w:left="2203"/>
        <w:rPr>
          <w:sz w:val="28"/>
          <w:szCs w:val="28"/>
        </w:rPr>
      </w:pPr>
      <w:r>
        <w:rPr>
          <w:spacing w:val="-10"/>
          <w:sz w:val="28"/>
          <w:szCs w:val="28"/>
        </w:rPr>
        <w:t>（202</w:t>
      </w:r>
      <w:r>
        <w:rPr>
          <w:rFonts w:hint="eastAsia"/>
          <w:spacing w:val="-10"/>
          <w:sz w:val="28"/>
          <w:szCs w:val="28"/>
          <w:lang w:val="en-US" w:eastAsia="zh-CN"/>
        </w:rPr>
        <w:t>6</w:t>
      </w:r>
      <w:r>
        <w:rPr>
          <w:spacing w:val="-10"/>
          <w:sz w:val="28"/>
          <w:szCs w:val="28"/>
        </w:rPr>
        <w:t xml:space="preserve"> 年</w:t>
      </w:r>
      <w:r>
        <w:rPr>
          <w:rFonts w:hint="eastAsia"/>
          <w:spacing w:val="-10"/>
          <w:sz w:val="28"/>
          <w:szCs w:val="28"/>
          <w:lang w:val="en-US" w:eastAsia="zh-CN"/>
        </w:rPr>
        <w:t xml:space="preserve"> </w:t>
      </w:r>
      <w:r>
        <w:rPr>
          <w:spacing w:val="-10"/>
          <w:sz w:val="28"/>
          <w:szCs w:val="28"/>
        </w:rPr>
        <w:t xml:space="preserve">第 </w:t>
      </w:r>
      <w:r>
        <w:rPr>
          <w:rFonts w:hint="eastAsia"/>
          <w:spacing w:val="-10"/>
          <w:sz w:val="28"/>
          <w:szCs w:val="28"/>
          <w:lang w:val="en-US" w:eastAsia="zh-CN"/>
        </w:rPr>
        <w:t>1</w:t>
      </w:r>
      <w:r>
        <w:rPr>
          <w:spacing w:val="-10"/>
          <w:sz w:val="28"/>
          <w:szCs w:val="28"/>
        </w:rPr>
        <w:t xml:space="preserve"> 期）</w:t>
      </w:r>
    </w:p>
    <w:p w14:paraId="59976BA1">
      <w:pPr>
        <w:spacing w:line="259" w:lineRule="auto"/>
        <w:rPr>
          <w:rFonts w:ascii="Arial"/>
          <w:sz w:val="21"/>
        </w:rPr>
      </w:pPr>
    </w:p>
    <w:p w14:paraId="694BE02B">
      <w:pPr>
        <w:spacing w:line="259" w:lineRule="auto"/>
        <w:rPr>
          <w:rFonts w:ascii="Arial"/>
          <w:sz w:val="21"/>
        </w:rPr>
      </w:pPr>
    </w:p>
    <w:p w14:paraId="48093948">
      <w:pPr>
        <w:spacing w:line="259" w:lineRule="auto"/>
        <w:rPr>
          <w:rFonts w:ascii="Arial"/>
          <w:sz w:val="21"/>
        </w:rPr>
      </w:pPr>
    </w:p>
    <w:p w14:paraId="2B5CCD05">
      <w:pPr>
        <w:spacing w:line="259" w:lineRule="auto"/>
        <w:rPr>
          <w:rFonts w:ascii="Arial"/>
          <w:sz w:val="21"/>
        </w:rPr>
      </w:pPr>
    </w:p>
    <w:p w14:paraId="654E6B26">
      <w:pPr>
        <w:spacing w:line="260" w:lineRule="auto"/>
        <w:rPr>
          <w:rFonts w:ascii="Arial"/>
          <w:sz w:val="21"/>
        </w:rPr>
      </w:pPr>
    </w:p>
    <w:p w14:paraId="2364156B">
      <w:pPr>
        <w:spacing w:line="260" w:lineRule="auto"/>
        <w:rPr>
          <w:rFonts w:ascii="Arial"/>
          <w:sz w:val="21"/>
        </w:rPr>
      </w:pPr>
    </w:p>
    <w:sdt>
      <w:sdtPr>
        <w:rPr>
          <w:rFonts w:hint="eastAsia" w:ascii="楷体" w:hAnsi="楷体" w:eastAsia="楷体" w:cs="楷体"/>
          <w:snapToGrid w:val="0"/>
          <w:color w:val="000000"/>
          <w:kern w:val="0"/>
          <w:sz w:val="21"/>
          <w:szCs w:val="21"/>
          <w:lang w:val="en-US" w:eastAsia="en-US" w:bidi="ar-SA"/>
        </w:rPr>
        <w:id w:val="147466167"/>
        <w15:color w:val="DBDBDB"/>
        <w:docPartObj>
          <w:docPartGallery w:val="Table of Contents"/>
          <w:docPartUnique/>
        </w:docPartObj>
      </w:sdtPr>
      <w:sdtEndPr>
        <w:rPr>
          <w:rFonts w:hint="eastAsia" w:ascii="华文楷体" w:hAnsi="华文楷体" w:eastAsia="华文楷体" w:cs="华文楷体"/>
          <w:snapToGrid w:val="0"/>
          <w:color w:val="000000"/>
          <w:kern w:val="0"/>
          <w:sz w:val="21"/>
          <w:szCs w:val="31"/>
          <w:lang w:val="en-US" w:eastAsia="en-US" w:bidi="ar-SA"/>
        </w:rPr>
      </w:sdtEndPr>
      <w:sdtContent>
        <w:p w14:paraId="28AD9D2F">
          <w:pPr>
            <w:spacing w:before="0" w:beforeLines="0" w:after="0" w:afterLines="0" w:line="240" w:lineRule="auto"/>
            <w:ind w:left="0" w:leftChars="0" w:right="0" w:rightChars="0" w:firstLine="0" w:firstLineChars="0"/>
            <w:jc w:val="center"/>
            <w:rPr>
              <w:rFonts w:hint="eastAsia" w:ascii="楷体" w:hAnsi="楷体" w:eastAsia="楷体" w:cs="楷体"/>
              <w:sz w:val="31"/>
              <w:szCs w:val="31"/>
            </w:rPr>
          </w:pPr>
          <w:r>
            <w:rPr>
              <w:rFonts w:hint="eastAsia" w:ascii="楷体" w:hAnsi="楷体" w:eastAsia="楷体" w:cs="楷体"/>
              <w:sz w:val="31"/>
              <w:szCs w:val="31"/>
            </w:rPr>
            <w:t>目</w:t>
          </w:r>
          <w:r>
            <w:rPr>
              <w:rFonts w:hint="eastAsia" w:ascii="楷体" w:hAnsi="楷体" w:eastAsia="楷体" w:cs="楷体"/>
              <w:sz w:val="31"/>
              <w:szCs w:val="31"/>
              <w:lang w:val="en-US" w:eastAsia="zh-CN"/>
            </w:rPr>
            <w:t xml:space="preserve">  </w:t>
          </w:r>
          <w:r>
            <w:rPr>
              <w:rFonts w:hint="eastAsia" w:ascii="楷体" w:hAnsi="楷体" w:eastAsia="楷体" w:cs="楷体"/>
              <w:sz w:val="31"/>
              <w:szCs w:val="31"/>
            </w:rPr>
            <w:t>录</w:t>
          </w:r>
        </w:p>
        <w:p w14:paraId="5B6FA79C">
          <w:pPr>
            <w:spacing w:before="0" w:beforeLines="0" w:after="0" w:afterLines="0" w:line="240" w:lineRule="auto"/>
            <w:ind w:left="0" w:leftChars="0" w:right="0" w:rightChars="0" w:firstLine="0" w:firstLineChars="0"/>
            <w:jc w:val="center"/>
            <w:rPr>
              <w:rFonts w:hint="eastAsia" w:ascii="楷体" w:hAnsi="楷体" w:eastAsia="楷体" w:cs="楷体"/>
              <w:sz w:val="31"/>
              <w:szCs w:val="31"/>
            </w:rPr>
          </w:pPr>
        </w:p>
        <w:p w14:paraId="61B78613">
          <w:pPr>
            <w:pStyle w:val="6"/>
            <w:keepNext w:val="0"/>
            <w:keepLines w:val="0"/>
            <w:pageBreakBefore w:val="0"/>
            <w:widowControl/>
            <w:tabs>
              <w:tab w:val="right" w:leader="dot" w:pos="6895"/>
            </w:tabs>
            <w:kinsoku w:val="0"/>
            <w:wordWrap/>
            <w:overflowPunct/>
            <w:topLinePunct w:val="0"/>
            <w:autoSpaceDE w:val="0"/>
            <w:autoSpaceDN w:val="0"/>
            <w:bidi w:val="0"/>
            <w:adjustRightInd w:val="0"/>
            <w:snapToGrid w:val="0"/>
            <w:spacing w:line="360" w:lineRule="auto"/>
            <w:textAlignment w:val="baseline"/>
            <w:rPr>
              <w:rFonts w:hint="eastAsia" w:ascii="楷体" w:hAnsi="楷体" w:eastAsia="楷体" w:cs="楷体"/>
              <w:sz w:val="31"/>
              <w:szCs w:val="31"/>
            </w:rPr>
          </w:pPr>
          <w:r>
            <w:rPr>
              <w:rFonts w:hint="eastAsia" w:ascii="楷体" w:hAnsi="楷体" w:eastAsia="楷体" w:cs="楷体"/>
              <w:sz w:val="31"/>
              <w:szCs w:val="31"/>
              <w:lang w:val="en-US" w:eastAsia="zh-CN"/>
            </w:rPr>
            <w:t>1.</w:t>
          </w:r>
          <w:r>
            <w:rPr>
              <w:rFonts w:hint="eastAsia" w:ascii="楷体" w:hAnsi="楷体" w:eastAsia="楷体" w:cs="楷体"/>
              <w:sz w:val="31"/>
              <w:szCs w:val="31"/>
            </w:rPr>
            <w:t>全国政协举行新年茶话会 习近平发表重要讲话</w:t>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TOC \o "1-3" \h \u </w:instrText>
          </w:r>
          <w:r>
            <w:rPr>
              <w:rFonts w:hint="eastAsia" w:ascii="楷体" w:hAnsi="楷体" w:eastAsia="楷体" w:cs="楷体"/>
              <w:sz w:val="31"/>
              <w:szCs w:val="31"/>
            </w:rPr>
            <w:fldChar w:fldCharType="separate"/>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HYPERLINK \l _Toc22552 </w:instrText>
          </w:r>
          <w:r>
            <w:rPr>
              <w:rFonts w:hint="eastAsia" w:ascii="楷体" w:hAnsi="楷体" w:eastAsia="楷体" w:cs="楷体"/>
              <w:sz w:val="31"/>
              <w:szCs w:val="31"/>
            </w:rPr>
            <w:fldChar w:fldCharType="separate"/>
          </w:r>
          <w:r>
            <w:rPr>
              <w:rFonts w:hint="eastAsia" w:ascii="楷体" w:hAnsi="楷体" w:eastAsia="楷体" w:cs="楷体"/>
              <w:sz w:val="31"/>
              <w:szCs w:val="31"/>
            </w:rPr>
            <w:tab/>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PAGEREF _Toc22552 \h </w:instrText>
          </w:r>
          <w:r>
            <w:rPr>
              <w:rFonts w:hint="eastAsia" w:ascii="楷体" w:hAnsi="楷体" w:eastAsia="楷体" w:cs="楷体"/>
              <w:sz w:val="31"/>
              <w:szCs w:val="31"/>
            </w:rPr>
            <w:fldChar w:fldCharType="separate"/>
          </w:r>
          <w:r>
            <w:rPr>
              <w:rFonts w:hint="eastAsia" w:ascii="楷体" w:hAnsi="楷体" w:eastAsia="楷体" w:cs="楷体"/>
              <w:sz w:val="31"/>
              <w:szCs w:val="31"/>
            </w:rPr>
            <w:t>1</w:t>
          </w:r>
          <w:r>
            <w:rPr>
              <w:rFonts w:hint="eastAsia" w:ascii="楷体" w:hAnsi="楷体" w:eastAsia="楷体" w:cs="楷体"/>
              <w:sz w:val="31"/>
              <w:szCs w:val="31"/>
            </w:rPr>
            <w:fldChar w:fldCharType="end"/>
          </w:r>
          <w:r>
            <w:rPr>
              <w:rFonts w:hint="eastAsia" w:ascii="楷体" w:hAnsi="楷体" w:eastAsia="楷体" w:cs="楷体"/>
              <w:sz w:val="31"/>
              <w:szCs w:val="31"/>
            </w:rPr>
            <w:fldChar w:fldCharType="end"/>
          </w:r>
        </w:p>
        <w:p w14:paraId="522C8D0E">
          <w:pPr>
            <w:pStyle w:val="6"/>
            <w:keepNext w:val="0"/>
            <w:keepLines w:val="0"/>
            <w:pageBreakBefore w:val="0"/>
            <w:widowControl/>
            <w:tabs>
              <w:tab w:val="right" w:leader="dot" w:pos="6895"/>
            </w:tabs>
            <w:kinsoku w:val="0"/>
            <w:wordWrap/>
            <w:overflowPunct/>
            <w:topLinePunct w:val="0"/>
            <w:autoSpaceDE w:val="0"/>
            <w:autoSpaceDN w:val="0"/>
            <w:bidi w:val="0"/>
            <w:adjustRightInd w:val="0"/>
            <w:snapToGrid w:val="0"/>
            <w:spacing w:line="360" w:lineRule="auto"/>
            <w:textAlignment w:val="baseline"/>
            <w:rPr>
              <w:rFonts w:hint="eastAsia" w:ascii="楷体" w:hAnsi="楷体" w:eastAsia="楷体" w:cs="楷体"/>
              <w:sz w:val="31"/>
              <w:szCs w:val="31"/>
            </w:rPr>
          </w:pPr>
          <w:r>
            <w:rPr>
              <w:rFonts w:hint="eastAsia" w:ascii="楷体" w:hAnsi="楷体" w:eastAsia="楷体" w:cs="楷体"/>
              <w:sz w:val="31"/>
              <w:szCs w:val="31"/>
              <w:lang w:val="en-US" w:eastAsia="zh-CN"/>
            </w:rPr>
            <w:t>2.</w:t>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HYPERLINK \l _Toc22007 </w:instrText>
          </w:r>
          <w:r>
            <w:rPr>
              <w:rFonts w:hint="eastAsia" w:ascii="楷体" w:hAnsi="楷体" w:eastAsia="楷体" w:cs="楷体"/>
              <w:sz w:val="31"/>
              <w:szCs w:val="31"/>
            </w:rPr>
            <w:fldChar w:fldCharType="separate"/>
          </w:r>
          <w:r>
            <w:rPr>
              <w:rFonts w:hint="eastAsia" w:ascii="楷体" w:hAnsi="楷体" w:eastAsia="楷体" w:cs="楷体"/>
              <w:sz w:val="31"/>
              <w:szCs w:val="31"/>
            </w:rPr>
            <w:t>国家主席习近平发表二〇二六年新年贺词</w:t>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HYPERLINK \l _Toc22552 </w:instrText>
          </w:r>
          <w:r>
            <w:rPr>
              <w:rFonts w:hint="eastAsia" w:ascii="楷体" w:hAnsi="楷体" w:eastAsia="楷体" w:cs="楷体"/>
              <w:sz w:val="31"/>
              <w:szCs w:val="31"/>
            </w:rPr>
            <w:fldChar w:fldCharType="separate"/>
          </w:r>
          <w:r>
            <w:rPr>
              <w:rFonts w:hint="eastAsia" w:ascii="楷体" w:hAnsi="楷体" w:eastAsia="楷体" w:cs="楷体"/>
              <w:sz w:val="31"/>
              <w:szCs w:val="31"/>
            </w:rPr>
            <w:tab/>
          </w:r>
          <w:r>
            <w:rPr>
              <w:rFonts w:hint="eastAsia" w:ascii="楷体" w:hAnsi="楷体" w:eastAsia="楷体" w:cs="楷体"/>
              <w:sz w:val="31"/>
              <w:szCs w:val="31"/>
              <w:lang w:val="en-US" w:eastAsia="zh-CN"/>
            </w:rPr>
            <w:t>4</w:t>
          </w:r>
          <w:r>
            <w:rPr>
              <w:rFonts w:hint="eastAsia" w:ascii="楷体" w:hAnsi="楷体" w:eastAsia="楷体" w:cs="楷体"/>
              <w:sz w:val="31"/>
              <w:szCs w:val="31"/>
            </w:rPr>
            <w:fldChar w:fldCharType="end"/>
          </w:r>
          <w:r>
            <w:rPr>
              <w:rFonts w:hint="eastAsia" w:ascii="楷体" w:hAnsi="楷体" w:eastAsia="楷体" w:cs="楷体"/>
              <w:sz w:val="31"/>
              <w:szCs w:val="31"/>
            </w:rPr>
            <w:tab/>
          </w:r>
          <w:r>
            <w:rPr>
              <w:rFonts w:hint="eastAsia" w:ascii="楷体" w:hAnsi="楷体" w:eastAsia="楷体" w:cs="楷体"/>
              <w:sz w:val="31"/>
              <w:szCs w:val="31"/>
            </w:rPr>
            <w:fldChar w:fldCharType="end"/>
          </w:r>
        </w:p>
        <w:p w14:paraId="48339639">
          <w:pPr>
            <w:pStyle w:val="6"/>
            <w:keepNext w:val="0"/>
            <w:keepLines w:val="0"/>
            <w:pageBreakBefore w:val="0"/>
            <w:widowControl/>
            <w:tabs>
              <w:tab w:val="right" w:leader="dot" w:pos="6895"/>
            </w:tabs>
            <w:kinsoku w:val="0"/>
            <w:wordWrap/>
            <w:overflowPunct/>
            <w:topLinePunct w:val="0"/>
            <w:autoSpaceDE w:val="0"/>
            <w:autoSpaceDN w:val="0"/>
            <w:bidi w:val="0"/>
            <w:adjustRightInd w:val="0"/>
            <w:snapToGrid w:val="0"/>
            <w:spacing w:line="360" w:lineRule="auto"/>
            <w:textAlignment w:val="baseline"/>
            <w:rPr>
              <w:rFonts w:hint="eastAsia" w:ascii="楷体" w:hAnsi="楷体" w:eastAsia="楷体" w:cs="楷体"/>
              <w:sz w:val="31"/>
              <w:szCs w:val="31"/>
            </w:rPr>
          </w:pPr>
          <w:r>
            <w:rPr>
              <w:rFonts w:hint="eastAsia" w:ascii="楷体" w:hAnsi="楷体" w:eastAsia="楷体" w:cs="楷体"/>
              <w:sz w:val="31"/>
              <w:szCs w:val="31"/>
              <w:lang w:val="en-US" w:eastAsia="zh-CN"/>
            </w:rPr>
            <w:t>3.</w:t>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HYPERLINK \l _Toc17905 </w:instrText>
          </w:r>
          <w:r>
            <w:rPr>
              <w:rFonts w:hint="eastAsia" w:ascii="楷体" w:hAnsi="楷体" w:eastAsia="楷体" w:cs="楷体"/>
              <w:sz w:val="31"/>
              <w:szCs w:val="31"/>
            </w:rPr>
            <w:fldChar w:fldCharType="separate"/>
          </w:r>
          <w:r>
            <w:rPr>
              <w:rFonts w:hint="eastAsia" w:ascii="楷体" w:hAnsi="楷体" w:eastAsia="楷体" w:cs="楷体"/>
              <w:sz w:val="31"/>
              <w:szCs w:val="31"/>
            </w:rPr>
            <w:t xml:space="preserve">中共中央政治局常务委员会召开会议 中共中央总书记习近平主持会议 </w:t>
          </w:r>
          <w:r>
            <w:rPr>
              <w:rFonts w:hint="eastAsia" w:ascii="楷体" w:hAnsi="楷体" w:eastAsia="楷体" w:cs="楷体"/>
              <w:sz w:val="31"/>
              <w:szCs w:val="31"/>
            </w:rPr>
            <w:tab/>
          </w:r>
          <w:r>
            <w:rPr>
              <w:rFonts w:hint="eastAsia" w:ascii="楷体" w:hAnsi="楷体" w:eastAsia="楷体" w:cs="楷体"/>
              <w:sz w:val="31"/>
              <w:szCs w:val="31"/>
              <w:lang w:val="en-US" w:eastAsia="zh-CN"/>
            </w:rPr>
            <w:t>7</w:t>
          </w:r>
          <w:r>
            <w:rPr>
              <w:rFonts w:hint="eastAsia" w:ascii="楷体" w:hAnsi="楷体" w:eastAsia="楷体" w:cs="楷体"/>
              <w:sz w:val="31"/>
              <w:szCs w:val="31"/>
            </w:rPr>
            <w:tab/>
          </w:r>
          <w:r>
            <w:rPr>
              <w:rFonts w:hint="eastAsia" w:ascii="楷体" w:hAnsi="楷体" w:eastAsia="楷体" w:cs="楷体"/>
              <w:sz w:val="31"/>
              <w:szCs w:val="31"/>
            </w:rPr>
            <w:fldChar w:fldCharType="end"/>
          </w:r>
          <w:bookmarkStart w:id="8" w:name="_GoBack"/>
          <w:bookmarkEnd w:id="8"/>
        </w:p>
        <w:p w14:paraId="0BAB9223">
          <w:pPr>
            <w:pStyle w:val="6"/>
            <w:keepNext w:val="0"/>
            <w:keepLines w:val="0"/>
            <w:pageBreakBefore w:val="0"/>
            <w:widowControl/>
            <w:tabs>
              <w:tab w:val="right" w:pos="6400"/>
              <w:tab w:val="right" w:leader="dot" w:pos="6895"/>
            </w:tabs>
            <w:kinsoku w:val="0"/>
            <w:wordWrap/>
            <w:overflowPunct/>
            <w:topLinePunct w:val="0"/>
            <w:autoSpaceDE w:val="0"/>
            <w:autoSpaceDN w:val="0"/>
            <w:bidi w:val="0"/>
            <w:adjustRightInd w:val="0"/>
            <w:snapToGrid w:val="0"/>
            <w:spacing w:line="360" w:lineRule="auto"/>
            <w:ind w:left="0" w:firstLine="0" w:firstLineChars="0"/>
            <w:textAlignment w:val="baseline"/>
            <w:rPr>
              <w:rFonts w:hint="eastAsia" w:ascii="楷体" w:hAnsi="楷体" w:eastAsia="楷体" w:cs="楷体"/>
              <w:sz w:val="31"/>
              <w:szCs w:val="31"/>
              <w:lang w:val="en-US" w:eastAsia="zh-CN"/>
            </w:rPr>
          </w:pPr>
          <w:r>
            <w:rPr>
              <w:rFonts w:hint="eastAsia" w:ascii="楷体" w:hAnsi="楷体" w:eastAsia="楷体" w:cs="楷体"/>
              <w:sz w:val="31"/>
              <w:szCs w:val="31"/>
              <w:lang w:val="en-US" w:eastAsia="zh-CN"/>
            </w:rPr>
            <w:t>4.</w:t>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HYPERLINK \l _Toc21807 </w:instrText>
          </w:r>
          <w:r>
            <w:rPr>
              <w:rFonts w:hint="eastAsia" w:ascii="楷体" w:hAnsi="楷体" w:eastAsia="楷体" w:cs="楷体"/>
              <w:sz w:val="31"/>
              <w:szCs w:val="31"/>
            </w:rPr>
            <w:fldChar w:fldCharType="separate"/>
          </w:r>
          <w:r>
            <w:rPr>
              <w:rFonts w:hint="eastAsia" w:ascii="楷体" w:hAnsi="楷体" w:eastAsia="楷体" w:cs="楷体"/>
              <w:sz w:val="31"/>
              <w:szCs w:val="31"/>
            </w:rPr>
            <w:t>中国共产党第二十届中央纪律检查委员会第五次全体会议公报</w:t>
          </w:r>
          <w:r>
            <w:rPr>
              <w:rFonts w:hint="eastAsia" w:ascii="楷体" w:hAnsi="楷体" w:eastAsia="楷体" w:cs="楷体"/>
              <w:sz w:val="31"/>
              <w:szCs w:val="31"/>
              <w:lang w:val="en-US" w:eastAsia="zh-CN"/>
            </w:rPr>
            <w:t>………………………………………</w:t>
          </w:r>
          <w:r>
            <w:rPr>
              <w:rFonts w:hint="eastAsia" w:ascii="楷体" w:hAnsi="楷体" w:eastAsia="楷体" w:cs="楷体"/>
              <w:sz w:val="31"/>
              <w:szCs w:val="31"/>
            </w:rPr>
            <w:tab/>
          </w:r>
          <w:r>
            <w:rPr>
              <w:rFonts w:hint="eastAsia" w:ascii="楷体" w:hAnsi="楷体" w:eastAsia="楷体" w:cs="楷体"/>
              <w:sz w:val="31"/>
              <w:szCs w:val="31"/>
              <w:lang w:val="en-US" w:eastAsia="zh-CN"/>
            </w:rPr>
            <w:t>9</w:t>
          </w:r>
          <w:r>
            <w:rPr>
              <w:rFonts w:hint="eastAsia" w:ascii="楷体" w:hAnsi="楷体" w:eastAsia="楷体" w:cs="楷体"/>
              <w:sz w:val="31"/>
              <w:szCs w:val="31"/>
            </w:rPr>
            <w:fldChar w:fldCharType="end"/>
          </w:r>
        </w:p>
        <w:p w14:paraId="1BDCF272">
          <w:pPr>
            <w:pStyle w:val="6"/>
            <w:keepNext w:val="0"/>
            <w:keepLines w:val="0"/>
            <w:pageBreakBefore w:val="0"/>
            <w:widowControl/>
            <w:tabs>
              <w:tab w:val="right" w:leader="dot" w:pos="6895"/>
            </w:tabs>
            <w:kinsoku w:val="0"/>
            <w:wordWrap/>
            <w:overflowPunct/>
            <w:topLinePunct w:val="0"/>
            <w:autoSpaceDE w:val="0"/>
            <w:autoSpaceDN w:val="0"/>
            <w:bidi w:val="0"/>
            <w:adjustRightInd w:val="0"/>
            <w:snapToGrid w:val="0"/>
            <w:spacing w:line="360" w:lineRule="auto"/>
            <w:textAlignment w:val="baseline"/>
            <w:rPr>
              <w:rFonts w:ascii="华文楷体" w:hAnsi="华文楷体" w:eastAsia="华文楷体" w:cs="华文楷体"/>
              <w:snapToGrid w:val="0"/>
              <w:color w:val="000000"/>
              <w:kern w:val="0"/>
              <w:sz w:val="21"/>
              <w:szCs w:val="31"/>
              <w:lang w:val="en-US" w:eastAsia="en-US" w:bidi="ar-SA"/>
            </w:rPr>
          </w:pPr>
          <w:r>
            <w:rPr>
              <w:rFonts w:hint="eastAsia" w:ascii="楷体" w:hAnsi="楷体" w:eastAsia="楷体" w:cs="楷体"/>
              <w:sz w:val="31"/>
              <w:szCs w:val="31"/>
              <w:lang w:val="en-US" w:eastAsia="zh-CN"/>
            </w:rPr>
            <w:t>5.</w:t>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HYPERLINK \l _Toc30238 </w:instrText>
          </w:r>
          <w:r>
            <w:rPr>
              <w:rFonts w:hint="eastAsia" w:ascii="楷体" w:hAnsi="楷体" w:eastAsia="楷体" w:cs="楷体"/>
              <w:sz w:val="31"/>
              <w:szCs w:val="31"/>
            </w:rPr>
            <w:fldChar w:fldCharType="separate"/>
          </w:r>
          <w:r>
            <w:rPr>
              <w:rFonts w:hint="eastAsia" w:ascii="楷体" w:hAnsi="楷体" w:eastAsia="楷体" w:cs="楷体"/>
              <w:sz w:val="31"/>
              <w:szCs w:val="31"/>
            </w:rPr>
            <w:t xml:space="preserve">习近平在省部级主要领导干部学习贯彻党的二十届四中全会精神专题研讨班开班式上发表重要讲话 </w:t>
          </w:r>
          <w:r>
            <w:rPr>
              <w:rFonts w:hint="eastAsia" w:ascii="楷体" w:hAnsi="楷体" w:eastAsia="楷体" w:cs="楷体"/>
              <w:sz w:val="31"/>
              <w:szCs w:val="31"/>
            </w:rPr>
            <w:tab/>
          </w:r>
          <w:r>
            <w:rPr>
              <w:rFonts w:hint="eastAsia" w:ascii="楷体" w:hAnsi="楷体" w:eastAsia="楷体" w:cs="楷体"/>
              <w:sz w:val="31"/>
              <w:szCs w:val="31"/>
            </w:rPr>
            <w:t xml:space="preserve"> </w:t>
          </w:r>
          <w:r>
            <w:rPr>
              <w:rFonts w:hint="eastAsia" w:ascii="楷体" w:hAnsi="楷体" w:eastAsia="楷体" w:cs="楷体"/>
              <w:sz w:val="31"/>
              <w:szCs w:val="31"/>
              <w:lang w:val="en-US" w:eastAsia="zh-CN"/>
            </w:rPr>
            <w:t>16</w:t>
          </w:r>
          <w:r>
            <w:rPr>
              <w:rFonts w:hint="eastAsia" w:ascii="楷体" w:hAnsi="楷体" w:eastAsia="楷体" w:cs="楷体"/>
              <w:sz w:val="31"/>
              <w:szCs w:val="31"/>
            </w:rPr>
            <w:t xml:space="preserve"> </w:t>
          </w:r>
          <w:r>
            <w:rPr>
              <w:rFonts w:hint="eastAsia" w:ascii="楷体" w:hAnsi="楷体" w:eastAsia="楷体" w:cs="楷体"/>
              <w:sz w:val="31"/>
              <w:szCs w:val="31"/>
            </w:rPr>
            <w:tab/>
          </w:r>
          <w:r>
            <w:rPr>
              <w:rFonts w:hint="eastAsia" w:ascii="楷体" w:hAnsi="楷体" w:eastAsia="楷体" w:cs="楷体"/>
              <w:sz w:val="31"/>
              <w:szCs w:val="31"/>
            </w:rPr>
            <w:t xml:space="preserve"> 8</w:t>
          </w:r>
          <w:r>
            <w:rPr>
              <w:rFonts w:hint="eastAsia" w:ascii="楷体" w:hAnsi="楷体" w:eastAsia="楷体" w:cs="楷体"/>
              <w:sz w:val="31"/>
              <w:szCs w:val="31"/>
            </w:rPr>
            <w:tab/>
          </w:r>
          <w:r>
            <w:rPr>
              <w:rFonts w:hint="eastAsia" w:ascii="楷体" w:hAnsi="楷体" w:eastAsia="楷体" w:cs="楷体"/>
              <w:sz w:val="31"/>
              <w:szCs w:val="31"/>
            </w:rPr>
            <w:fldChar w:fldCharType="end"/>
          </w:r>
          <w:r>
            <w:rPr>
              <w:rFonts w:hint="eastAsia" w:ascii="楷体" w:hAnsi="楷体" w:eastAsia="楷体" w:cs="楷体"/>
              <w:sz w:val="31"/>
              <w:szCs w:val="31"/>
            </w:rPr>
            <w:fldChar w:fldCharType="end"/>
          </w:r>
        </w:p>
      </w:sdtContent>
    </w:sdt>
    <w:p w14:paraId="4F3DCEE5">
      <w:pPr>
        <w:spacing w:line="210" w:lineRule="auto"/>
        <w:rPr>
          <w:rFonts w:ascii="华文楷体" w:hAnsi="华文楷体" w:eastAsia="华文楷体" w:cs="华文楷体"/>
          <w:snapToGrid w:val="0"/>
          <w:color w:val="000000"/>
          <w:kern w:val="0"/>
          <w:sz w:val="21"/>
          <w:szCs w:val="31"/>
          <w:lang w:val="en-US" w:eastAsia="en-US" w:bidi="ar-SA"/>
        </w:rPr>
        <w:sectPr>
          <w:type w:val="continuous"/>
          <w:pgSz w:w="11907" w:h="16839"/>
          <w:pgMar w:top="1431" w:right="570" w:bottom="0" w:left="1432" w:header="0" w:footer="0" w:gutter="0"/>
          <w:pgNumType w:fmt="decimal"/>
          <w:cols w:equalWidth="0" w:num="2">
            <w:col w:w="2909" w:space="100"/>
            <w:col w:w="6895"/>
          </w:cols>
        </w:sectPr>
      </w:pPr>
    </w:p>
    <w:p w14:paraId="0D40BA7D">
      <w:pPr>
        <w:pStyle w:val="2"/>
        <w:bidi w:val="0"/>
      </w:pPr>
      <w:bookmarkStart w:id="0" w:name="bookmark17"/>
      <w:bookmarkEnd w:id="0"/>
      <w:bookmarkStart w:id="1" w:name="bookmark5"/>
      <w:bookmarkEnd w:id="1"/>
      <w:bookmarkStart w:id="2" w:name="bookmark19"/>
      <w:bookmarkEnd w:id="2"/>
      <w:r>
        <w:t>全国政协举行新年茶话会习近平发表重要讲话</w:t>
      </w:r>
    </w:p>
    <w:p w14:paraId="34A971E5">
      <w:pPr>
        <w:pStyle w:val="2"/>
        <w:pageBreakBefore w:val="0"/>
        <w:widowControl/>
        <w:kinsoku w:val="0"/>
        <w:wordWrap/>
        <w:overflowPunct/>
        <w:topLinePunct w:val="0"/>
        <w:autoSpaceDE w:val="0"/>
        <w:autoSpaceDN w:val="0"/>
        <w:bidi w:val="0"/>
        <w:adjustRightInd w:val="0"/>
        <w:snapToGrid w:val="0"/>
        <w:spacing w:line="240" w:lineRule="auto"/>
        <w:textAlignment w:val="baseline"/>
        <w:rPr>
          <w:rFonts w:hint="eastAsia"/>
        </w:rPr>
      </w:pPr>
    </w:p>
    <w:p w14:paraId="21CE09B7">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90" w:firstLineChars="200"/>
        <w:jc w:val="both"/>
        <w:textAlignment w:val="baseline"/>
        <w:rPr>
          <w:rFonts w:hint="eastAsia" w:ascii="仿宋" w:hAnsi="仿宋" w:eastAsia="仿宋" w:cs="仿宋"/>
          <w:color w:val="262626"/>
          <w:spacing w:val="17"/>
          <w:sz w:val="31"/>
          <w:szCs w:val="31"/>
        </w:rPr>
      </w:pPr>
      <w:r>
        <w:rPr>
          <w:rFonts w:hint="eastAsia" w:ascii="仿宋" w:hAnsi="仿宋" w:eastAsia="仿宋" w:cs="仿宋"/>
          <w:b/>
          <w:bCs/>
          <w:color w:val="262626"/>
          <w:spacing w:val="17"/>
          <w:sz w:val="31"/>
          <w:szCs w:val="31"/>
        </w:rPr>
        <w:t>新华社北京12月31日电</w:t>
      </w:r>
      <w:r>
        <w:rPr>
          <w:rFonts w:hint="eastAsia" w:ascii="仿宋" w:hAnsi="仿宋" w:eastAsia="仿宋" w:cs="仿宋"/>
          <w:color w:val="262626"/>
          <w:spacing w:val="17"/>
          <w:sz w:val="31"/>
          <w:szCs w:val="31"/>
          <w:lang w:val="en-US" w:eastAsia="zh-CN"/>
        </w:rPr>
        <w:t xml:space="preserve">  </w:t>
      </w:r>
      <w:r>
        <w:rPr>
          <w:rFonts w:hint="eastAsia" w:ascii="仿宋" w:hAnsi="仿宋" w:eastAsia="仿宋" w:cs="仿宋"/>
          <w:color w:val="262626"/>
          <w:spacing w:val="17"/>
          <w:sz w:val="31"/>
          <w:szCs w:val="31"/>
        </w:rPr>
        <w:t>中国人民政治协商会议全国委员会12月31日上午在全国政协礼堂举行新年茶话会。党和国家领导人习近平、李强、赵乐际、王沪宁、蔡奇、丁薛祥、李希、韩正等同各民主党派中央、全国工商联负责人和无党派人士代表、中央和国家机关有关方面负责人以及首都各族各界人士代表欢聚一堂，共迎2026年元旦。</w:t>
      </w:r>
    </w:p>
    <w:p w14:paraId="199FA44F">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r>
        <w:rPr>
          <w:rFonts w:hint="eastAsia" w:ascii="仿宋" w:hAnsi="仿宋" w:eastAsia="仿宋" w:cs="仿宋"/>
          <w:color w:val="262626"/>
          <w:spacing w:val="17"/>
          <w:sz w:val="31"/>
          <w:szCs w:val="31"/>
        </w:rPr>
        <w:t>中共中央总书记、国家主席、中央军委主席习近平发表重要讲话。他强调，蓝图已经绘就，奋进正当其时。全党全国各族人民要更加紧密地团结起来，万众一心、奋发进取，以实干成就伟业，以创新赢得未来，不断开创中国式现代化建设新局面。</w:t>
      </w:r>
    </w:p>
    <w:p w14:paraId="45B1AF0B">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r>
        <w:rPr>
          <w:rFonts w:hint="eastAsia" w:ascii="仿宋" w:hAnsi="仿宋" w:eastAsia="仿宋" w:cs="仿宋"/>
          <w:color w:val="262626"/>
          <w:spacing w:val="17"/>
          <w:sz w:val="31"/>
          <w:szCs w:val="31"/>
        </w:rPr>
        <w:t>习近平代表中共中央、国务院和中央军委，向各民主党派、工商联和无党派人士，向全国各族人民，向香港同胞、澳门同胞、</w:t>
      </w:r>
    </w:p>
    <w:p w14:paraId="391BFA56">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r>
        <w:rPr>
          <w:rFonts w:hint="eastAsia" w:ascii="仿宋" w:hAnsi="仿宋" w:eastAsia="仿宋" w:cs="仿宋"/>
          <w:color w:val="262626"/>
          <w:spacing w:val="17"/>
          <w:sz w:val="31"/>
          <w:szCs w:val="31"/>
        </w:rPr>
        <w:t>台湾同胞和海外侨胞，向关心和支持中国现代化建设的各国朋友，致以新年的美好祝福！</w:t>
      </w:r>
    </w:p>
    <w:p w14:paraId="6B375F1B">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r>
        <w:rPr>
          <w:rFonts w:hint="eastAsia" w:ascii="仿宋" w:hAnsi="仿宋" w:eastAsia="仿宋" w:cs="仿宋"/>
          <w:color w:val="262626"/>
          <w:spacing w:val="17"/>
          <w:sz w:val="31"/>
          <w:szCs w:val="31"/>
        </w:rPr>
        <w:t>习近平指出，2025年是很不平凡的一年。我们迎难而上、奋力拼搏，顺利完成经济社会发展主要目标，办了不少大事要事。我国经济顶压前行、向新向优发展，展现强大韧性和活力，改革开放迈出新步伐，民生保障更加有力，社会大局保持稳定。历经5年的艰苦奋斗，“十四五”圆满收官，我国经济实力、科技实力、国防实力、综合国力跃上新台阶。我们在砥砺奋进中进一步增强了志气、骨气、底气，更加坚定了推进强国建设、实现民族复兴的决心和信心。</w:t>
      </w:r>
    </w:p>
    <w:p w14:paraId="6F09353F">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r>
        <w:rPr>
          <w:rFonts w:hint="eastAsia" w:ascii="仿宋" w:hAnsi="仿宋" w:eastAsia="仿宋" w:cs="仿宋"/>
          <w:color w:val="262626"/>
          <w:spacing w:val="17"/>
          <w:sz w:val="31"/>
          <w:szCs w:val="31"/>
        </w:rPr>
        <w:t>习近平强调，一年来，人民政协认真贯彻落实中共中央决策部署，着力巩固团结奋斗的共同思想政治基础，紧紧围绕进一步全面深化改革、推动高质量发展等议政建言，为党和国家事业发展作出了新贡献。</w:t>
      </w:r>
    </w:p>
    <w:p w14:paraId="57F4F773">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r>
        <w:rPr>
          <w:rFonts w:hint="eastAsia" w:ascii="仿宋" w:hAnsi="仿宋" w:eastAsia="仿宋" w:cs="仿宋"/>
          <w:color w:val="262626"/>
          <w:spacing w:val="17"/>
          <w:sz w:val="31"/>
          <w:szCs w:val="31"/>
        </w:rPr>
        <w:t>习近平指出，2026年是“十五五”开局之年。我们要完整准确全面贯彻新发展理念，加快构建新发展格局，着力推动高质量发展，坚持稳中求进工作总基调，实施更加积极有为的宏观政策，推动经济实现质的有效提升和量的合理增长，保持社会和谐稳定，努力实现“十五五”良好开局。</w:t>
      </w:r>
    </w:p>
    <w:p w14:paraId="7CD5736E">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r>
        <w:rPr>
          <w:rFonts w:hint="eastAsia" w:ascii="仿宋" w:hAnsi="仿宋" w:eastAsia="仿宋" w:cs="仿宋"/>
          <w:color w:val="262626"/>
          <w:spacing w:val="17"/>
          <w:sz w:val="31"/>
          <w:szCs w:val="31"/>
        </w:rPr>
        <w:t>习近平强调，人民政协要紧扣党和国家中心任务，聚焦“十五五”规划制定和实施深入协商议政、积极建言献策、开展民主监督，为推进中国式现代化广泛凝聚人心、凝聚共识、凝聚智慧、凝聚力量。</w:t>
      </w:r>
    </w:p>
    <w:p w14:paraId="43F914BD">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r>
        <w:rPr>
          <w:rFonts w:hint="eastAsia" w:ascii="仿宋" w:hAnsi="仿宋" w:eastAsia="仿宋" w:cs="仿宋"/>
          <w:color w:val="262626"/>
          <w:spacing w:val="17"/>
          <w:sz w:val="31"/>
          <w:szCs w:val="31"/>
        </w:rPr>
        <w:t>茶话会由中共中央政治局常委、全国政协主席王沪宁主持。他指出，要认真学习贯彻习近平总书记重要讲话精神，毫不动摇坚持中国共产党的全面领导，牢牢把握人民政协性质定位，聚焦党和国家中心任务履职尽责，充分发挥人民政协作为专门协商机构作用，同心同德、群策群力，为“十五五”开好局、起好步广泛凝心聚力，为基本实现社会主义现代化而不懈奋斗。</w:t>
      </w:r>
    </w:p>
    <w:p w14:paraId="0FBD8234">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r>
        <w:rPr>
          <w:rFonts w:hint="eastAsia" w:ascii="仿宋" w:hAnsi="仿宋" w:eastAsia="仿宋" w:cs="仿宋"/>
          <w:color w:val="262626"/>
          <w:spacing w:val="17"/>
          <w:sz w:val="31"/>
          <w:szCs w:val="31"/>
        </w:rPr>
        <w:t>民进中央主席蔡达峰代表各民主党派中央、全国工商联和无党派人士讲话，表示将更加紧密地团结在以习近平同志为核心的中共中央周围，不断加强自身建设，更好服务发展大局，为以中国式现代化全面推进强国建设、民族复兴伟业贡献智慧和力量。</w:t>
      </w:r>
    </w:p>
    <w:p w14:paraId="51A7EEC0">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r>
        <w:rPr>
          <w:rFonts w:hint="eastAsia" w:ascii="仿宋" w:hAnsi="仿宋" w:eastAsia="仿宋" w:cs="仿宋"/>
          <w:color w:val="262626"/>
          <w:spacing w:val="17"/>
          <w:sz w:val="31"/>
          <w:szCs w:val="31"/>
        </w:rPr>
        <w:t>文艺工作者现场表演了精彩的节目。最后，全场起立高唱《团结就是力量》。会场内洋溢着喜庆祥和的节日气氛。</w:t>
      </w:r>
    </w:p>
    <w:p w14:paraId="6948599C">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r>
        <w:rPr>
          <w:rFonts w:hint="eastAsia" w:ascii="仿宋" w:hAnsi="仿宋" w:eastAsia="仿宋" w:cs="仿宋"/>
          <w:color w:val="262626"/>
          <w:spacing w:val="17"/>
          <w:sz w:val="31"/>
          <w:szCs w:val="31"/>
        </w:rPr>
        <w:t>在京中共中央政治局委员、中央书记处书记，全国人大常委会、国务院部分领导同志，全国政协领导同志和曾任全国政协副主席的在京老同志出席茶话会。</w:t>
      </w:r>
    </w:p>
    <w:p w14:paraId="395A4724">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90" w:firstLineChars="200"/>
        <w:jc w:val="both"/>
        <w:textAlignment w:val="baseline"/>
        <w:rPr>
          <w:rFonts w:hint="eastAsia" w:ascii="仿宋" w:hAnsi="仿宋" w:eastAsia="仿宋" w:cs="仿宋"/>
          <w:b/>
          <w:bCs/>
          <w:color w:val="262626"/>
          <w:spacing w:val="17"/>
          <w:sz w:val="31"/>
          <w:szCs w:val="31"/>
        </w:rPr>
      </w:pPr>
    </w:p>
    <w:p w14:paraId="3ADA2438">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90" w:firstLineChars="200"/>
        <w:jc w:val="both"/>
        <w:textAlignment w:val="baseline"/>
        <w:rPr>
          <w:rFonts w:hint="eastAsia" w:ascii="仿宋" w:hAnsi="仿宋" w:eastAsia="仿宋" w:cs="仿宋"/>
          <w:b/>
          <w:bCs/>
          <w:color w:val="262626"/>
          <w:spacing w:val="17"/>
          <w:sz w:val="31"/>
          <w:szCs w:val="31"/>
        </w:rPr>
      </w:pPr>
    </w:p>
    <w:p w14:paraId="4ED4D891">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90" w:firstLineChars="200"/>
        <w:jc w:val="both"/>
        <w:textAlignment w:val="baseline"/>
        <w:rPr>
          <w:rFonts w:hint="eastAsia" w:ascii="仿宋" w:hAnsi="仿宋" w:eastAsia="仿宋" w:cs="仿宋"/>
          <w:b/>
          <w:bCs/>
          <w:color w:val="262626"/>
          <w:spacing w:val="17"/>
          <w:sz w:val="31"/>
          <w:szCs w:val="31"/>
        </w:rPr>
      </w:pPr>
    </w:p>
    <w:p w14:paraId="4E6104E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90" w:firstLineChars="200"/>
        <w:jc w:val="both"/>
        <w:textAlignment w:val="baseline"/>
        <w:rPr>
          <w:rFonts w:hint="eastAsia" w:ascii="仿宋" w:hAnsi="仿宋" w:eastAsia="仿宋" w:cs="仿宋"/>
          <w:b/>
          <w:bCs/>
          <w:color w:val="262626"/>
          <w:spacing w:val="17"/>
          <w:sz w:val="31"/>
          <w:szCs w:val="31"/>
        </w:rPr>
      </w:pPr>
    </w:p>
    <w:p w14:paraId="696625E0">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90" w:firstLineChars="200"/>
        <w:jc w:val="both"/>
        <w:textAlignment w:val="baseline"/>
        <w:rPr>
          <w:rFonts w:hint="eastAsia" w:ascii="仿宋" w:hAnsi="仿宋" w:eastAsia="仿宋" w:cs="仿宋"/>
          <w:b/>
          <w:bCs/>
          <w:color w:val="262626"/>
          <w:spacing w:val="17"/>
          <w:sz w:val="31"/>
          <w:szCs w:val="31"/>
        </w:rPr>
      </w:pPr>
    </w:p>
    <w:p w14:paraId="37A57A82">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90" w:firstLineChars="200"/>
        <w:jc w:val="both"/>
        <w:textAlignment w:val="baseline"/>
        <w:rPr>
          <w:rFonts w:hint="eastAsia" w:ascii="仿宋" w:hAnsi="仿宋" w:eastAsia="仿宋" w:cs="仿宋"/>
          <w:b/>
          <w:bCs/>
          <w:color w:val="262626"/>
          <w:spacing w:val="17"/>
          <w:sz w:val="31"/>
          <w:szCs w:val="31"/>
        </w:rPr>
      </w:pPr>
    </w:p>
    <w:p w14:paraId="1C37A8B8">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90" w:firstLineChars="200"/>
        <w:jc w:val="both"/>
        <w:textAlignment w:val="baseline"/>
        <w:rPr>
          <w:rFonts w:hint="eastAsia" w:ascii="仿宋" w:hAnsi="仿宋" w:eastAsia="仿宋" w:cs="仿宋"/>
          <w:b/>
          <w:bCs/>
          <w:color w:val="262626"/>
          <w:spacing w:val="17"/>
          <w:sz w:val="31"/>
          <w:szCs w:val="31"/>
        </w:rPr>
      </w:pPr>
    </w:p>
    <w:p w14:paraId="5197FA7F">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90" w:firstLineChars="200"/>
        <w:jc w:val="both"/>
        <w:textAlignment w:val="baseline"/>
        <w:rPr>
          <w:rFonts w:hint="eastAsia" w:ascii="仿宋" w:hAnsi="仿宋" w:eastAsia="仿宋" w:cs="仿宋"/>
          <w:b/>
          <w:bCs/>
          <w:color w:val="262626"/>
          <w:spacing w:val="17"/>
          <w:sz w:val="31"/>
          <w:szCs w:val="31"/>
        </w:rPr>
      </w:pPr>
    </w:p>
    <w:p w14:paraId="1B074B4F">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90" w:firstLineChars="200"/>
        <w:jc w:val="both"/>
        <w:textAlignment w:val="baseline"/>
        <w:rPr>
          <w:rFonts w:hint="eastAsia" w:ascii="仿宋" w:hAnsi="仿宋" w:eastAsia="仿宋" w:cs="仿宋"/>
          <w:b/>
          <w:bCs/>
          <w:color w:val="262626"/>
          <w:spacing w:val="17"/>
          <w:sz w:val="31"/>
          <w:szCs w:val="31"/>
        </w:rPr>
      </w:pPr>
    </w:p>
    <w:p w14:paraId="3F3CC52F">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90" w:firstLineChars="200"/>
        <w:jc w:val="both"/>
        <w:textAlignment w:val="baseline"/>
        <w:rPr>
          <w:rFonts w:hint="eastAsia" w:ascii="仿宋" w:hAnsi="仿宋" w:eastAsia="仿宋" w:cs="仿宋"/>
          <w:b/>
          <w:bCs/>
          <w:color w:val="262626"/>
          <w:spacing w:val="17"/>
          <w:sz w:val="31"/>
          <w:szCs w:val="31"/>
        </w:rPr>
      </w:pPr>
    </w:p>
    <w:p w14:paraId="1C7C2C70">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90" w:firstLineChars="200"/>
        <w:jc w:val="both"/>
        <w:textAlignment w:val="baseline"/>
        <w:rPr>
          <w:rFonts w:hint="eastAsia" w:ascii="仿宋" w:hAnsi="仿宋" w:eastAsia="仿宋" w:cs="仿宋"/>
          <w:b/>
          <w:bCs/>
          <w:color w:val="262626"/>
          <w:spacing w:val="17"/>
          <w:sz w:val="31"/>
          <w:szCs w:val="31"/>
        </w:rPr>
      </w:pPr>
    </w:p>
    <w:p w14:paraId="7A16EB71">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90" w:firstLineChars="200"/>
        <w:jc w:val="both"/>
        <w:textAlignment w:val="baseline"/>
        <w:rPr>
          <w:rFonts w:hint="eastAsia" w:ascii="仿宋" w:hAnsi="仿宋" w:eastAsia="仿宋" w:cs="仿宋"/>
          <w:b/>
          <w:bCs/>
          <w:color w:val="262626"/>
          <w:spacing w:val="17"/>
          <w:sz w:val="31"/>
          <w:szCs w:val="31"/>
        </w:rPr>
      </w:pPr>
    </w:p>
    <w:p w14:paraId="42F8819C">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90" w:firstLineChars="200"/>
        <w:jc w:val="both"/>
        <w:textAlignment w:val="baseline"/>
        <w:rPr>
          <w:rFonts w:hint="eastAsia" w:ascii="仿宋" w:hAnsi="仿宋" w:eastAsia="仿宋" w:cs="仿宋"/>
          <w:b/>
          <w:bCs/>
          <w:color w:val="262626"/>
          <w:spacing w:val="17"/>
          <w:sz w:val="31"/>
          <w:szCs w:val="31"/>
        </w:rPr>
      </w:pPr>
    </w:p>
    <w:p w14:paraId="11769A6F">
      <w:pPr>
        <w:pStyle w:val="2"/>
        <w:bidi w:val="0"/>
      </w:pPr>
      <w:r>
        <w:t>国家主席习近平发表二〇二六年新年贺词</w:t>
      </w:r>
    </w:p>
    <w:p w14:paraId="0FF93314">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90" w:firstLineChars="200"/>
        <w:jc w:val="both"/>
        <w:textAlignment w:val="baseline"/>
        <w:rPr>
          <w:rFonts w:hint="eastAsia" w:ascii="仿宋" w:hAnsi="仿宋" w:eastAsia="仿宋" w:cs="仿宋"/>
          <w:color w:val="262626"/>
          <w:spacing w:val="17"/>
          <w:sz w:val="31"/>
          <w:szCs w:val="31"/>
        </w:rPr>
      </w:pPr>
      <w:r>
        <w:rPr>
          <w:rFonts w:hint="eastAsia" w:ascii="仿宋" w:hAnsi="仿宋" w:eastAsia="仿宋" w:cs="仿宋"/>
          <w:b/>
          <w:bCs/>
          <w:color w:val="262626"/>
          <w:spacing w:val="17"/>
          <w:sz w:val="31"/>
          <w:szCs w:val="31"/>
        </w:rPr>
        <w:t>新华社北京12月31日电</w:t>
      </w:r>
      <w:r>
        <w:rPr>
          <w:rFonts w:hint="eastAsia" w:ascii="仿宋" w:hAnsi="仿宋" w:eastAsia="仿宋" w:cs="仿宋"/>
          <w:color w:val="262626"/>
          <w:spacing w:val="17"/>
          <w:sz w:val="31"/>
          <w:szCs w:val="31"/>
          <w:lang w:val="en-US" w:eastAsia="zh-CN"/>
        </w:rPr>
        <w:t xml:space="preserve">  </w:t>
      </w:r>
      <w:r>
        <w:rPr>
          <w:rFonts w:hint="eastAsia" w:ascii="仿宋" w:hAnsi="仿宋" w:eastAsia="仿宋" w:cs="仿宋"/>
          <w:color w:val="262626"/>
          <w:spacing w:val="17"/>
          <w:sz w:val="31"/>
          <w:szCs w:val="31"/>
        </w:rPr>
        <w:t>新年前夕，国家主席习近平通过中央广播电视总台和互联网，发表了二〇二六年新年贺词。全文如下：</w:t>
      </w:r>
    </w:p>
    <w:p w14:paraId="278CCDC4">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r>
        <w:rPr>
          <w:rFonts w:hint="eastAsia" w:ascii="仿宋" w:hAnsi="仿宋" w:eastAsia="仿宋" w:cs="仿宋"/>
          <w:color w:val="262626"/>
          <w:spacing w:val="17"/>
          <w:sz w:val="31"/>
          <w:szCs w:val="31"/>
        </w:rPr>
        <w:t>大家好！岁序更替，华章日新。在新年到来之际，我在北京向大家致以美好的祝福！</w:t>
      </w:r>
    </w:p>
    <w:p w14:paraId="483D7828">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r>
        <w:rPr>
          <w:rFonts w:hint="eastAsia" w:ascii="仿宋" w:hAnsi="仿宋" w:eastAsia="仿宋" w:cs="仿宋"/>
          <w:color w:val="262626"/>
          <w:spacing w:val="17"/>
          <w:sz w:val="31"/>
          <w:szCs w:val="31"/>
        </w:rPr>
        <w:t>2025年是“十四五”收官之年。5年来，我们踔厉奋发、勇毅前行，克服重重困难挑战，圆满完成目标任务，在中国式现代化新征程上迈出了稳健步伐。我国经济总量连续跨越新关口，今年预计达到140万亿元，经济实力、科技实力、国防实力、综合国力跃上新台阶，绿水青山成为亮丽底色，人民群众获得感幸福感安全感不断增强。5年历程极不寻常，成绩来之不易。大家拼搏进取、耕耘奉献，铸就了欣欣向荣的中国。我向每一位辛勤付出的奋斗者致敬！</w:t>
      </w:r>
    </w:p>
    <w:p w14:paraId="0FD15E27">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r>
        <w:rPr>
          <w:rFonts w:hint="eastAsia" w:ascii="仿宋" w:hAnsi="仿宋" w:eastAsia="仿宋" w:cs="仿宋"/>
          <w:color w:val="262626"/>
          <w:spacing w:val="17"/>
          <w:sz w:val="31"/>
          <w:szCs w:val="31"/>
        </w:rPr>
        <w:t>这一年，令人难忘的是，我们隆重纪念中国人民抗日战争暨世界反法西斯战争胜利80周年，设立台湾光复纪念日。国之盛典威武雄壮，胜利荣光永载史册，激励中华儿女铭记历史、缅怀先烈、珍爱和平、开创未来，凝聚起中华民族伟大复兴的磅礴伟力。</w:t>
      </w:r>
    </w:p>
    <w:p w14:paraId="36DF74D1">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r>
        <w:rPr>
          <w:rFonts w:hint="eastAsia" w:ascii="仿宋" w:hAnsi="仿宋" w:eastAsia="仿宋" w:cs="仿宋"/>
          <w:color w:val="262626"/>
          <w:spacing w:val="17"/>
          <w:sz w:val="31"/>
          <w:szCs w:val="31"/>
        </w:rPr>
        <w:t>我们依靠创新为高质量发展赋能。科技与产业深度融合，创新成果竞相涌现，人工智能大模型你追我赶，芯片自主研发有了新突破，我国成为创新力上升最快的经济体之一。天问二号开启</w:t>
      </w:r>
    </w:p>
    <w:p w14:paraId="4E21D971">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sectPr>
          <w:footerReference r:id="rId5" w:type="default"/>
          <w:pgSz w:w="11907" w:h="16839"/>
          <w:pgMar w:top="1431" w:right="1503" w:bottom="1397" w:left="1522" w:header="0" w:footer="1194" w:gutter="0"/>
          <w:pgNumType w:fmt="decimal" w:start="1"/>
          <w:cols w:space="720" w:num="1"/>
        </w:sectPr>
      </w:pPr>
    </w:p>
    <w:p w14:paraId="62BA6EDF">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r>
        <w:rPr>
          <w:rFonts w:hint="eastAsia" w:ascii="仿宋" w:hAnsi="仿宋" w:eastAsia="仿宋" w:cs="仿宋"/>
          <w:color w:val="262626"/>
          <w:spacing w:val="17"/>
          <w:sz w:val="31"/>
          <w:szCs w:val="31"/>
        </w:rPr>
        <w:t>“追星”之旅，雅下水电工程开工建设，首艘电磁弹射型航母正式入列。人形机器人亮出“功夫模式”，无人机演绎绚丽“烟花”。创新创造催生了新质生产力，也让生活更加多姿多彩。</w:t>
      </w:r>
    </w:p>
    <w:p w14:paraId="078111F2">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r>
        <w:rPr>
          <w:rFonts w:hint="eastAsia" w:ascii="仿宋" w:hAnsi="仿宋" w:eastAsia="仿宋" w:cs="仿宋"/>
          <w:color w:val="262626"/>
          <w:spacing w:val="17"/>
          <w:sz w:val="31"/>
          <w:szCs w:val="31"/>
        </w:rPr>
        <w:t>我们以文化滋养精神家园。文博热、非遗热不断升温，世界遗产再添新员，悟空和哪吒风靡全球，古韵国风成为年轻人眼中的“顶流审美”。文旅市场人气火爆，“城超”“村超”热闹非凡，冰雪运动点燃冬日激情。传统与现代交融，中华文化绽放更加灿烂的光芒。</w:t>
      </w:r>
    </w:p>
    <w:p w14:paraId="158EC6E7">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r>
        <w:rPr>
          <w:rFonts w:hint="eastAsia" w:ascii="仿宋" w:hAnsi="仿宋" w:eastAsia="仿宋" w:cs="仿宋"/>
          <w:color w:val="262626"/>
          <w:spacing w:val="17"/>
          <w:sz w:val="31"/>
          <w:szCs w:val="31"/>
        </w:rPr>
        <w:t>我们共创共享美好生活。我到西藏、新疆出席庆祝活动，从雪域高原到天山南北，各族群众心手相连，像石榴籽一样紧紧抱在一起，大家用洁白的哈达、热情的歌舞，表达对祖国的热爱、对幸福的礼赞。民生无小事，枝叶总关情。过去一年，新就业群体权益有了进一步保障，适老化改造给老年人带来方便，育儿家庭每月多了300元补贴。柴米油盐、三餐四季，每个“小家”热气腾腾，中国这个“大家”就蒸蒸日上。</w:t>
      </w:r>
    </w:p>
    <w:p w14:paraId="4C354AF6">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r>
        <w:rPr>
          <w:rFonts w:hint="eastAsia" w:ascii="仿宋" w:hAnsi="仿宋" w:eastAsia="仿宋" w:cs="仿宋"/>
          <w:color w:val="262626"/>
          <w:spacing w:val="17"/>
          <w:sz w:val="31"/>
          <w:szCs w:val="31"/>
        </w:rPr>
        <w:t>我们继续敞开胸怀拥抱世界。上合组织天津峰会、全球妇女峰会成功举办，海南自贸港全岛封关运作。为更好应对气候变化，我国宣布新一轮国家自主贡献。继“三大倡议”之后，我提出全球治理倡议，推动建设更加公正合理的全球治理体系。当今世界变乱交织，一些地区仍被战火笼罩。中国始终站在历史正确一边，愿同各国携手促进世界和平发展，推动构建人类命运共同体。</w:t>
      </w:r>
    </w:p>
    <w:p w14:paraId="1C73038C">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r>
        <w:rPr>
          <w:rFonts w:hint="eastAsia" w:ascii="仿宋" w:hAnsi="仿宋" w:eastAsia="仿宋" w:cs="仿宋"/>
          <w:color w:val="262626"/>
          <w:spacing w:val="17"/>
          <w:sz w:val="31"/>
          <w:szCs w:val="31"/>
        </w:rPr>
        <w:t>前不久，我出席了全运会开幕式，粤港澳三地同心同行，令人欣慰。要坚定不移贯彻“一国两制”方针，支持港澳更好融入国家发展大局，保持长期繁荣稳定。两岸同胞血浓于水，祖国统一的历史大势不可阻挡！</w:t>
      </w:r>
    </w:p>
    <w:p w14:paraId="3E7C3EAE">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r>
        <w:rPr>
          <w:rFonts w:hint="eastAsia" w:ascii="仿宋" w:hAnsi="仿宋" w:eastAsia="仿宋" w:cs="仿宋"/>
          <w:color w:val="262626"/>
          <w:spacing w:val="17"/>
          <w:sz w:val="31"/>
          <w:szCs w:val="31"/>
        </w:rPr>
        <w:t>党兴方能国强。我们开展深入贯彻中央八项规定精神学习教育，徙木立信从严管党治党，去腐生肌推进自我革命，党风政风持续向好。要砥砺初心使命，持之以恒、久久为功，继续回答好延安“窑洞之问”，书写无愧于人民的时代答卷。</w:t>
      </w:r>
    </w:p>
    <w:p w14:paraId="57AF9DE3">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r>
        <w:rPr>
          <w:rFonts w:hint="eastAsia" w:ascii="仿宋" w:hAnsi="仿宋" w:eastAsia="仿宋" w:cs="仿宋"/>
          <w:color w:val="262626"/>
          <w:spacing w:val="17"/>
          <w:sz w:val="31"/>
          <w:szCs w:val="31"/>
        </w:rPr>
        <w:t>2026年是“十五五”开局之年。锐始者必图其终，成功者先计于始。我们要锚定目标任务，坚定信心、乘势而上，扎实推动高质量发展，进一步全面深化改革开放，推进全体人民共同富裕，续写中国奇迹新篇章。</w:t>
      </w:r>
    </w:p>
    <w:p w14:paraId="57F88087">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r>
        <w:rPr>
          <w:rFonts w:hint="eastAsia" w:ascii="仿宋" w:hAnsi="仿宋" w:eastAsia="仿宋" w:cs="仿宋"/>
          <w:color w:val="262626"/>
          <w:spacing w:val="17"/>
          <w:sz w:val="31"/>
          <w:szCs w:val="31"/>
        </w:rPr>
        <w:t>山海寻梦，不觉其远；前路迢迢，阔步而行。让我们拿出跃马扬鞭的勇气，激发万马奔腾的活力，保持马不停蹄的干劲，一起为梦想奋斗、为幸福打拼，把宏伟愿景变成美好现实。</w:t>
      </w:r>
    </w:p>
    <w:p w14:paraId="5F83B59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sectPr>
          <w:footerReference r:id="rId6" w:type="default"/>
          <w:pgSz w:w="11907" w:h="16839"/>
          <w:pgMar w:top="1431" w:right="1417" w:bottom="1397" w:left="1522" w:header="0" w:footer="1196" w:gutter="0"/>
          <w:pgNumType w:fmt="decimal"/>
          <w:cols w:space="720" w:num="1"/>
        </w:sectPr>
      </w:pPr>
      <w:r>
        <w:rPr>
          <w:rFonts w:hint="eastAsia" w:ascii="仿宋" w:hAnsi="仿宋" w:eastAsia="仿宋" w:cs="仿宋"/>
          <w:color w:val="262626"/>
          <w:spacing w:val="17"/>
          <w:sz w:val="31"/>
          <w:szCs w:val="31"/>
        </w:rPr>
        <w:t>新年的旭日即将升起。祝祖国山河壮丽、大地丰饶，神州沐朝晖！祝大家心有所悦、业有所成，万事皆可期</w:t>
      </w:r>
    </w:p>
    <w:p w14:paraId="2DF32D70">
      <w:pPr>
        <w:pStyle w:val="2"/>
        <w:bidi w:val="0"/>
      </w:pPr>
      <w:bookmarkStart w:id="3" w:name="bookmark4"/>
      <w:bookmarkEnd w:id="3"/>
      <w:bookmarkStart w:id="4" w:name="bookmark3"/>
      <w:bookmarkEnd w:id="4"/>
      <w:r>
        <w:t>中共中央政治局常务委员会召开会议</w:t>
      </w:r>
      <w:bookmarkStart w:id="5" w:name="bookmark4"/>
      <w:bookmarkEnd w:id="5"/>
    </w:p>
    <w:p w14:paraId="661B849D">
      <w:pPr>
        <w:pStyle w:val="2"/>
        <w:bidi w:val="0"/>
      </w:pPr>
      <w:r>
        <w:t>中共中央总书记习近平主持会议</w:t>
      </w:r>
    </w:p>
    <w:p w14:paraId="1CDC11C1">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90" w:firstLineChars="200"/>
        <w:jc w:val="both"/>
        <w:textAlignment w:val="baseline"/>
        <w:rPr>
          <w:rFonts w:hint="eastAsia" w:ascii="仿宋" w:hAnsi="仿宋" w:eastAsia="仿宋" w:cs="仿宋"/>
          <w:color w:val="262626"/>
          <w:spacing w:val="17"/>
          <w:sz w:val="31"/>
          <w:szCs w:val="31"/>
        </w:rPr>
      </w:pPr>
      <w:r>
        <w:rPr>
          <w:rFonts w:hint="eastAsia" w:ascii="仿宋" w:hAnsi="仿宋" w:eastAsia="仿宋" w:cs="仿宋"/>
          <w:b/>
          <w:bCs/>
          <w:color w:val="262626"/>
          <w:spacing w:val="17"/>
          <w:sz w:val="31"/>
          <w:szCs w:val="31"/>
        </w:rPr>
        <w:t>新华社北京1月8日电</w:t>
      </w:r>
      <w:r>
        <w:rPr>
          <w:rFonts w:hint="eastAsia" w:ascii="仿宋" w:hAnsi="仿宋" w:eastAsia="仿宋" w:cs="仿宋"/>
          <w:color w:val="262626"/>
          <w:spacing w:val="17"/>
          <w:sz w:val="31"/>
          <w:szCs w:val="31"/>
          <w:lang w:val="en-US" w:eastAsia="zh-CN"/>
        </w:rPr>
        <w:t xml:space="preserve">  </w:t>
      </w:r>
      <w:r>
        <w:rPr>
          <w:rFonts w:hint="eastAsia" w:ascii="仿宋" w:hAnsi="仿宋" w:eastAsia="仿宋" w:cs="仿宋"/>
          <w:color w:val="262626"/>
          <w:spacing w:val="17"/>
          <w:sz w:val="31"/>
          <w:szCs w:val="31"/>
        </w:rPr>
        <w:t>中共中央政治局常务委员会1月8日全天召开会议，听取全国人大常委会、国务院、全国政协、最高人民法院、最高人民检察院党组工作汇报，听取中央书记处工作报告。中共中央总书记习近平主持会议并发表重要讲话。</w:t>
      </w:r>
    </w:p>
    <w:p w14:paraId="0EE3CB17">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r>
        <w:rPr>
          <w:rFonts w:hint="eastAsia" w:ascii="仿宋" w:hAnsi="仿宋" w:eastAsia="仿宋" w:cs="仿宋"/>
          <w:color w:val="262626"/>
          <w:spacing w:val="17"/>
          <w:sz w:val="31"/>
          <w:szCs w:val="31"/>
        </w:rPr>
        <w:t>会议指出，党中央听取全国人大常委会、国务院、全国政协、最高人民法院、最高人民检察院党组工作汇报和中央书记处工作报告，是坚持和完善党的领导制度体系，把党中央集中统一领导落实到国家治理各领域各方面各环节的重要举措。“十五五”时期，我国发展环境面临深刻复杂变化，工作任务艰巨繁重，要坚持好、运用好、发展好党的领导这一最大优势，为中国式现代化建设提供根本保证。</w:t>
      </w:r>
    </w:p>
    <w:p w14:paraId="2B2D68E9">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r>
        <w:rPr>
          <w:rFonts w:hint="eastAsia" w:ascii="仿宋" w:hAnsi="仿宋" w:eastAsia="仿宋" w:cs="仿宋"/>
          <w:color w:val="262626"/>
          <w:spacing w:val="17"/>
          <w:sz w:val="31"/>
          <w:szCs w:val="31"/>
        </w:rPr>
        <w:t>会议认为，过去一年，全国人大常委会、国务院、全国政协、最高人民法院、最高人民检察院党组坚持以习近平新时代中国特色社会主义思想为指导，坚定维护党中央权威和集中统一领导，认真贯彻落实党的二十大和二十届历次全会精神，紧紧围绕党和国家工作大局履职尽责，切实加强党组自身建设，各方面工作取得了新成效。</w:t>
      </w:r>
    </w:p>
    <w:p w14:paraId="7E8867EF">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r>
        <w:rPr>
          <w:rFonts w:hint="eastAsia" w:ascii="仿宋" w:hAnsi="仿宋" w:eastAsia="仿宋" w:cs="仿宋"/>
          <w:color w:val="262626"/>
          <w:spacing w:val="17"/>
          <w:sz w:val="31"/>
          <w:szCs w:val="31"/>
        </w:rPr>
        <w:t>会议认为，过去一年，在中央政治局、中央政治局常委会领导下，中央书记处认真贯彻党中央决策部署，积极履职尽责，在完成党中央交办任务、加强党内法规制度建设、指导推动群团工作、整治形式主义为基层减负等方面做了大量工作。</w:t>
      </w:r>
    </w:p>
    <w:p w14:paraId="15B65DD2">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r>
        <w:rPr>
          <w:rFonts w:hint="eastAsia" w:ascii="仿宋" w:hAnsi="仿宋" w:eastAsia="仿宋" w:cs="仿宋"/>
          <w:color w:val="262626"/>
          <w:spacing w:val="17"/>
          <w:sz w:val="31"/>
          <w:szCs w:val="31"/>
        </w:rPr>
        <w:t>会议强调，今年是中国共产党成立105周年，是“十五五”开局之年。全国人大常委会、国务院、全国政协、最高人民法院、最高人民检察院党组要以习近平新时代中国特色社会主义思想为指导，深入贯彻党的二十大和二十届历次全会精神，认真落实四中全会部署，坚持党中央集中统一领导，深刻领悟“两个确立”的决定性意义，增强“四个意识”、坚定“四个自信”、做到“两个维护”，始终在思想上政治上行动上同以习近平同志为核心的党中央保持高度一致，不折不扣把党中央各项决策部署落到实处。要锚定“十五五”时期经济社会发展的重大战略任务，统一意志、形成合力，共同推进各领域工作，努力实现良好开局。树立和践行正确政绩观，坚持为人民出政绩、以实干出政绩。加强党组自身建设，认真履行全面从严治党主体责任，切实增强自我革命的自觉性坚定性。</w:t>
      </w:r>
    </w:p>
    <w:p w14:paraId="20345794">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r>
        <w:rPr>
          <w:rFonts w:hint="eastAsia" w:ascii="仿宋" w:hAnsi="仿宋" w:eastAsia="仿宋" w:cs="仿宋"/>
          <w:color w:val="262626"/>
          <w:spacing w:val="17"/>
          <w:sz w:val="31"/>
          <w:szCs w:val="31"/>
        </w:rPr>
        <w:t>会议强调，新的一年里，中央书记处要深入贯彻党的二十大和二十届历次全会精神，认真落实四中全会部署，围绕中央政治局、中央政治局常委会部署要求，立足职责抓好指导开展党内集中教育、完善党内法规制度建设、群团组织建设和改革、持续整治形式主义为基层减负等重点任务落实，高质量完成党中央交办的各项任务。</w:t>
      </w:r>
    </w:p>
    <w:p w14:paraId="1090CDE3">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p>
    <w:p w14:paraId="6CDDA3D4">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p>
    <w:p w14:paraId="794986B2">
      <w:pPr>
        <w:pStyle w:val="2"/>
        <w:bidi w:val="0"/>
      </w:pPr>
      <w:r>
        <w:t>中国共产党第二十届中央纪律检查委员会第五次全体会议公报</w:t>
      </w:r>
    </w:p>
    <w:p w14:paraId="1D8E91D7">
      <w:pPr>
        <w:spacing w:before="143" w:line="235" w:lineRule="auto"/>
        <w:ind w:left="175"/>
        <w:rPr>
          <w:rFonts w:ascii="楷体" w:hAnsi="楷体" w:eastAsia="楷体" w:cs="楷体"/>
          <w:sz w:val="31"/>
          <w:szCs w:val="31"/>
        </w:rPr>
      </w:pPr>
      <w:r>
        <w:rPr>
          <w:rFonts w:ascii="楷体" w:hAnsi="楷体" w:eastAsia="楷体" w:cs="楷体"/>
          <w:b/>
          <w:bCs/>
          <w:color w:val="262626"/>
          <w:spacing w:val="1"/>
          <w:sz w:val="31"/>
          <w:szCs w:val="31"/>
        </w:rPr>
        <w:t>（</w:t>
      </w:r>
      <w:r>
        <w:rPr>
          <w:rFonts w:ascii="Times New Roman" w:hAnsi="Times New Roman" w:eastAsia="Times New Roman" w:cs="Times New Roman"/>
          <w:b/>
          <w:bCs/>
          <w:color w:val="262626"/>
          <w:spacing w:val="1"/>
          <w:sz w:val="31"/>
          <w:szCs w:val="31"/>
        </w:rPr>
        <w:t xml:space="preserve">2026 </w:t>
      </w:r>
      <w:r>
        <w:rPr>
          <w:rFonts w:ascii="楷体" w:hAnsi="楷体" w:eastAsia="楷体" w:cs="楷体"/>
          <w:b/>
          <w:bCs/>
          <w:color w:val="262626"/>
          <w:spacing w:val="1"/>
          <w:sz w:val="31"/>
          <w:szCs w:val="31"/>
        </w:rPr>
        <w:t>年</w:t>
      </w:r>
      <w:r>
        <w:rPr>
          <w:rFonts w:ascii="楷体" w:hAnsi="楷体" w:eastAsia="楷体" w:cs="楷体"/>
          <w:color w:val="262626"/>
          <w:spacing w:val="-50"/>
          <w:sz w:val="31"/>
          <w:szCs w:val="31"/>
        </w:rPr>
        <w:t xml:space="preserve"> </w:t>
      </w:r>
      <w:r>
        <w:rPr>
          <w:rFonts w:ascii="Times New Roman" w:hAnsi="Times New Roman" w:eastAsia="Times New Roman" w:cs="Times New Roman"/>
          <w:b/>
          <w:bCs/>
          <w:color w:val="262626"/>
          <w:spacing w:val="1"/>
          <w:sz w:val="31"/>
          <w:szCs w:val="31"/>
        </w:rPr>
        <w:t>1</w:t>
      </w:r>
      <w:r>
        <w:rPr>
          <w:rFonts w:ascii="Times New Roman" w:hAnsi="Times New Roman" w:eastAsia="Times New Roman" w:cs="Times New Roman"/>
          <w:b/>
          <w:bCs/>
          <w:color w:val="262626"/>
          <w:spacing w:val="31"/>
          <w:sz w:val="31"/>
          <w:szCs w:val="31"/>
        </w:rPr>
        <w:t xml:space="preserve"> </w:t>
      </w:r>
      <w:r>
        <w:rPr>
          <w:rFonts w:ascii="楷体" w:hAnsi="楷体" w:eastAsia="楷体" w:cs="楷体"/>
          <w:b/>
          <w:bCs/>
          <w:color w:val="262626"/>
          <w:spacing w:val="1"/>
          <w:sz w:val="31"/>
          <w:szCs w:val="31"/>
        </w:rPr>
        <w:t>月</w:t>
      </w:r>
      <w:r>
        <w:rPr>
          <w:rFonts w:ascii="楷体" w:hAnsi="楷体" w:eastAsia="楷体" w:cs="楷体"/>
          <w:color w:val="262626"/>
          <w:spacing w:val="-52"/>
          <w:sz w:val="31"/>
          <w:szCs w:val="31"/>
        </w:rPr>
        <w:t xml:space="preserve"> </w:t>
      </w:r>
      <w:r>
        <w:rPr>
          <w:rFonts w:ascii="Times New Roman" w:hAnsi="Times New Roman" w:eastAsia="Times New Roman" w:cs="Times New Roman"/>
          <w:b/>
          <w:bCs/>
          <w:color w:val="262626"/>
          <w:spacing w:val="1"/>
          <w:sz w:val="31"/>
          <w:szCs w:val="31"/>
        </w:rPr>
        <w:t xml:space="preserve">14  </w:t>
      </w:r>
      <w:r>
        <w:rPr>
          <w:rFonts w:ascii="楷体" w:hAnsi="楷体" w:eastAsia="楷体" w:cs="楷体"/>
          <w:b/>
          <w:bCs/>
          <w:color w:val="262626"/>
          <w:spacing w:val="1"/>
          <w:sz w:val="31"/>
          <w:szCs w:val="31"/>
        </w:rPr>
        <w:t>日中国共产党第</w:t>
      </w:r>
      <w:r>
        <w:rPr>
          <w:rFonts w:ascii="楷体" w:hAnsi="楷体" w:eastAsia="楷体" w:cs="楷体"/>
          <w:b/>
          <w:bCs/>
          <w:color w:val="262626"/>
          <w:sz w:val="31"/>
          <w:szCs w:val="31"/>
        </w:rPr>
        <w:t>二十届中央纪律检查委员会</w:t>
      </w:r>
    </w:p>
    <w:p w14:paraId="14E665E5">
      <w:pPr>
        <w:spacing w:before="167" w:line="222" w:lineRule="auto"/>
        <w:ind w:left="2853"/>
        <w:rPr>
          <w:rFonts w:ascii="楷体" w:hAnsi="楷体" w:eastAsia="楷体" w:cs="楷体"/>
          <w:b/>
          <w:bCs/>
          <w:color w:val="262626"/>
          <w:spacing w:val="4"/>
          <w:sz w:val="31"/>
          <w:szCs w:val="31"/>
        </w:rPr>
      </w:pPr>
      <w:r>
        <w:rPr>
          <w:rFonts w:ascii="楷体" w:hAnsi="楷体" w:eastAsia="楷体" w:cs="楷体"/>
          <w:b/>
          <w:bCs/>
          <w:color w:val="262626"/>
          <w:spacing w:val="4"/>
          <w:sz w:val="31"/>
          <w:szCs w:val="31"/>
        </w:rPr>
        <w:t>第五次全体会议通过）</w:t>
      </w:r>
    </w:p>
    <w:p w14:paraId="308316DB">
      <w:pPr>
        <w:spacing w:before="167" w:line="222" w:lineRule="auto"/>
        <w:ind w:left="2853"/>
        <w:rPr>
          <w:rFonts w:ascii="楷体" w:hAnsi="楷体" w:eastAsia="楷体" w:cs="楷体"/>
          <w:b/>
          <w:bCs/>
          <w:color w:val="262626"/>
          <w:spacing w:val="4"/>
          <w:sz w:val="31"/>
          <w:szCs w:val="31"/>
        </w:rPr>
      </w:pPr>
    </w:p>
    <w:p w14:paraId="54193881">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r>
        <w:rPr>
          <w:rFonts w:hint="eastAsia" w:ascii="仿宋" w:hAnsi="仿宋" w:eastAsia="仿宋" w:cs="仿宋"/>
          <w:color w:val="262626"/>
          <w:spacing w:val="17"/>
          <w:sz w:val="31"/>
          <w:szCs w:val="31"/>
        </w:rPr>
        <w:t>中国共产党第二十届中央纪律检查委员会第五次全体会议，于2026年1月12日至14日在北京举行。出席这次全会的有中央纪委委员120人，列席265人。</w:t>
      </w:r>
    </w:p>
    <w:p w14:paraId="27CC70C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r>
        <w:rPr>
          <w:rFonts w:hint="eastAsia" w:ascii="仿宋" w:hAnsi="仿宋" w:eastAsia="仿宋" w:cs="仿宋"/>
          <w:color w:val="262626"/>
          <w:spacing w:val="17"/>
          <w:sz w:val="31"/>
          <w:szCs w:val="31"/>
        </w:rPr>
        <w:t>中共中央总书记、国家主席、中央军委主席习近平出席全会并发表重要讲话。李强、赵乐际、王沪宁、蔡奇、丁薛祥、李希等党和国家领导人出席会议。</w:t>
      </w:r>
    </w:p>
    <w:p w14:paraId="262108A3">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r>
        <w:rPr>
          <w:rFonts w:hint="eastAsia" w:ascii="仿宋" w:hAnsi="仿宋" w:eastAsia="仿宋" w:cs="仿宋"/>
          <w:color w:val="262626"/>
          <w:spacing w:val="17"/>
          <w:sz w:val="31"/>
          <w:szCs w:val="31"/>
        </w:rPr>
        <w:t>全会由中央纪律检查委员会常务委员会主持。全会深入学习贯彻习近平新时代中国特色社会主义思想，全面贯彻落实党的二十大和二十届历次全会精神，认真落实四中全会部署，总结2025年纪检监察工作，部署2026年任务，审议通过了李希同志代表中央纪委常委会所作的《以更高标准、更实举措推进全面从严治党，为实现“十五五”时期目标任务提供坚强保障》工作报告。</w:t>
      </w:r>
    </w:p>
    <w:p w14:paraId="487F3892">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r>
        <w:rPr>
          <w:rFonts w:hint="eastAsia" w:ascii="仿宋" w:hAnsi="仿宋" w:eastAsia="仿宋" w:cs="仿宋"/>
          <w:color w:val="262626"/>
          <w:spacing w:val="17"/>
          <w:sz w:val="31"/>
          <w:szCs w:val="31"/>
        </w:rPr>
        <w:t>全会认真学习、深刻领会习近平总书记重要讲话。一致认为，讲话充分肯定过去一年全面从严治党取得的显著成效，着眼基本实现社会主义现代化关键时期，对以更高标准、更实举措推进全面从严治党，为实现“十五五”时期目标任务提供坚强保障作出战略部署，对纪检监察干部队伍寄予殷切期望。讲话高屋建瓴、视野宏阔、思想深邃、内涵丰富，具有很强的政治性、思想性、指导性，为深入推进全面从严治党和反腐败斗争指明前进方向、提供根本遵循。一致表示，将以习近平总书记重要讲话精神为指引，强化使命意识和奋斗意志，忠诚履职、担当尽责，紧紧围绕实现党的使命任务，持之以恒强化政治监督，坚定不移正风肃纪反腐，始终做到忠诚干净担当、敢于善于斗争，为如期基本实现社会主义现代化贡献力量。</w:t>
      </w:r>
    </w:p>
    <w:p w14:paraId="5A6DAC63">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r>
        <w:rPr>
          <w:rFonts w:hint="eastAsia" w:ascii="仿宋" w:hAnsi="仿宋" w:eastAsia="仿宋" w:cs="仿宋"/>
          <w:color w:val="262626"/>
          <w:spacing w:val="17"/>
          <w:sz w:val="31"/>
          <w:szCs w:val="31"/>
        </w:rPr>
        <w:t>全会指出，2025年，以习近平同志为核心的党中央坚持不懈推进党的自我革命，团结带领全党全国各族人民攻坚克难、砥砺奋斗，圆满完成“十四五”目标任务，中国式现代化迈出新的坚实步伐。中央纪委国家监委和各级纪检监察机关坚持以习近平新时代中国特色社会主义思想为指导，牢记嘱托、感恩奋进，更加坚定拥护“两个确立”、坚决做到“两个维护”，更加坚定为维护党的团结统一而战、为捍卫党的先进性纯洁性而战，以党风廉政建设和反腐败斗争新成效为党和国家事业发展提供有力保障。中央纪委常委会深入学习贯彻《习近平谈治国理政》第五卷，加强对习近平总书记关于党的自我革命的重要思想的宣传阐释，带动全系统学思想、悟真理、抓落实，确保纪检监察工作始终沿着正确方向前进。紧紧围绕“两个维护”重大政治责任，强化政治监督，深化政治巡视，高质量实现对省区市巡视全覆盖，有力保障党中央大政方针贯彻落实。扎实开展深入贯彻中央八项规定精神学习教育，重拳纠治“四风”顽疾，严肃查处、公开通报违规吃喝等典型案例，推动全党进一步改作风树新风。坚定不移推进反腐败斗争，深化整治金融、国企、能源、消防、烟草、医药、高校、体育、开发区、公益慈善、安全生产、工程建设和招标投标等重点领域腐败，出台调查新型腐败和隐性腐败问题证据指引，深化风腐同查同治，制定实施新时代廉洁文化建设三年行动计划，着力铲除腐败滋生的土壤和条件。深化整治群众身边不正之风和腐败问题，强力惩治“蝇贪蚁腐”，推动解决群众急难愁盼问题，让群众有更多获得感。深入推进纪检监察体制改革，完成向中管企业全面派驻纪检监察组，促进完善全面从严治党法规制度和监察法配套制度，更好推动制度优势转化为治理效能。扎实开展“纪检监察工作规范化法治化正规化建设年”行动，打出自身建设“组合拳”，纪检监察铁军建设再上新台阶。在肯定成绩的同时，实事求是分析了纪检监察工作和干部队伍建设存在的问题，要求高度重视、切实加以解决。</w:t>
      </w:r>
    </w:p>
    <w:p w14:paraId="24DF819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r>
        <w:rPr>
          <w:rFonts w:hint="eastAsia" w:ascii="仿宋" w:hAnsi="仿宋" w:eastAsia="仿宋" w:cs="仿宋"/>
          <w:color w:val="262626"/>
          <w:spacing w:val="17"/>
          <w:sz w:val="31"/>
          <w:szCs w:val="31"/>
        </w:rPr>
        <w:t>全会强调，“十五五”时期是基本实现社会主义现代化夯实基础、全面发力的关键时期，全面从严治党面临新的形势任务。纪检监察机关要切实把思想和行动统一到以习近平同志为核心的党中央对形势的准确判断、对任务的科学部署上来，深刻把握实现“十五五”时期目标任务对维护党的团结统一提出的更高要求，坚定不移推动全党拥护“两个确立”、做到“两个维护”；深刻把握实现“十五五”时期目标任务对把权力关进制度笼子提出的更高要求，坚定不移强化制度治权、依规用权；深刻把握实现“十五五”时期目标任务对保持党的先进性纯洁性提出的更高要求，坚定不移走好中国特色反腐败之路；深刻把握实现“十五五”时期目标任务对激励担当作为提出的更高要求，坚定不移促进党员干部在遵规守纪中干事创业。</w:t>
      </w:r>
    </w:p>
    <w:p w14:paraId="175D0653">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r>
        <w:rPr>
          <w:rFonts w:hint="eastAsia" w:ascii="仿宋" w:hAnsi="仿宋" w:eastAsia="仿宋" w:cs="仿宋"/>
          <w:color w:val="262626"/>
          <w:spacing w:val="17"/>
          <w:sz w:val="31"/>
          <w:szCs w:val="31"/>
        </w:rPr>
        <w:t>全会提出，2026年是“十五五”开局之年，也是我们党成立105周年。做好今年工作，要坚持以习近平新时代中国特色社会主义思想为指导，全面贯彻落实党的二十大和二十届历次全会精神，认真落实四中全会部署，深入学习贯彻习近平总书记关于党的建设的重要思想、关于党的自我革命的重要思想，坚定拥护“两个确立”、坚决做到“两个维护”，持之以恒推进全面从严治党，持续深化正风肃纪反腐，加大一体推进不敢腐、不能腐、不想腐力度，更加有力有效铲除腐败滋生的土壤和条件，持续开展“纪检监察工作规范化法治化正规化建设年”行动，推进新时代新征程纪检监察工作高质量发展，为实现“十五五”时期目标任务提供坚强保障。</w:t>
      </w:r>
    </w:p>
    <w:p w14:paraId="4D3B4F0B">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r>
        <w:rPr>
          <w:rFonts w:hint="eastAsia" w:ascii="仿宋" w:hAnsi="仿宋" w:eastAsia="仿宋" w:cs="仿宋"/>
          <w:color w:val="262626"/>
          <w:spacing w:val="17"/>
          <w:sz w:val="31"/>
          <w:szCs w:val="31"/>
        </w:rPr>
        <w:t>第一，强化政治监督，推动全党凝心聚力实现“十五五”时期目标任务。推动加强党的创新理论武装，引导党员干部增强使命意识，做到笃信、务实、担当、自律。推动广大党员干部树立和践行正确政绩观，自觉按规律办事，做到为人民出政绩、以实干出政绩。严明政治纪律、换届纪律，坚决清除心怀二志、言行不一的“两面人”，着力解决“七个有之”问题，严肃纠治思想上的自由主义、政治上的投机主义、组织上的宗派主义、工作上的本位主义、履责上的好人主义，切实维护以习近平同志为核心的党中央权威和集中统一领导。紧紧围绕贯彻新发展理念、推动高质量发展、加快构建新发展格局等战略部署，聚焦建设现代化产业体系、因地制宜发展新质生产力、建设全国统一大市场、扩大高水平对外开放、扎实推进全体人民共同富裕、常态化防止返贫致贫、化解地方政府隐性债务、加强生态环境保护、统筹发展和安全等任务要求，及时跟进监督，保障“十五五”顺利开局起步。</w:t>
      </w:r>
    </w:p>
    <w:p w14:paraId="44D6460F">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r>
        <w:rPr>
          <w:rFonts w:hint="eastAsia" w:ascii="仿宋" w:hAnsi="仿宋" w:eastAsia="仿宋" w:cs="仿宋"/>
          <w:color w:val="262626"/>
          <w:spacing w:val="17"/>
          <w:sz w:val="31"/>
          <w:szCs w:val="31"/>
        </w:rPr>
        <w:t>第二，强化正风肃纪，巩固拓展深入贯彻中央八项规定精神学习教育成果。持续狠刹享乐主义、奢靡之风，对违规吃喝、违规收送礼品礼金等易发多发问题深化整治；对以调研考察、开展党建活动、培训的名义搞公款旅游，变相公款出国（境）旅游等问题严肃查处；对借民生项目违规建设楼堂馆所等新动向密切关注并纠治。持续整治形式主义、官僚主义，坚决纠治临近换届等待观望不作为，换届后急功近利“翻烧饼”、搞“政绩工程”等突出问题，推动为基层减负。深入贯彻关于锲而不舍落实中央八项规定精神推进作风建设常态化长效化的意见，以经常性学习教育为基础，以压实责任为关键，以风腐同查同治为抓手，完善作风建设长效机制。</w:t>
      </w:r>
    </w:p>
    <w:p w14:paraId="2ED5C53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r>
        <w:rPr>
          <w:rFonts w:hint="eastAsia" w:ascii="仿宋" w:hAnsi="仿宋" w:eastAsia="仿宋" w:cs="仿宋"/>
          <w:color w:val="262626"/>
          <w:spacing w:val="17"/>
          <w:sz w:val="31"/>
          <w:szCs w:val="31"/>
        </w:rPr>
        <w:t>第三，强化标本兼治，用好一体推进不敢腐、不能腐、不想腐战略抓手。以保持高压震慑强化不敢腐，坚持猛药去疴、重典治乱，继续起底清理，深化整治金融、国企、能源、教育、学会协会、开发区和招标投标等重点领域腐败，严肃查处政商勾连、权力为资本提供保护、资本向政治领域渗透等问题，深挖细查预期收益、约定代持、政商“旋转门”等新型腐败和隐性腐败，着重查处“关键少数”、年轻干部腐败，深化受贿行贿一起查，加大跨境腐败案件查办力度，配合全国人大常委会制定反跨境腐败法。不断提高反腐败穿透力，及时发现、准确识别、有效治理各类腐败问题。以加强监督制约强化不能腐，健全授权用权制权相统一、清晰透明可追溯的制度机制，协助党中央修订《中国共产党党内监督条例》，深入落实关于加强对“一把手”和领导班子监督的意见，推动科学授权、正确用权、有效制权。以深化廉洁教育强化不想腐，深入落实新时代廉洁文化建设三年行动计划，提升廉洁宣传教育的针对性有效性，不断塑造清正廉洁的思想品格、廉洁奉公的政德修养、廉洁自律的道德操守、崇廉拒腐的社会风尚。以完善体制机制促进一体推进，健全党委统一领导下的反腐败工作机制，完善反腐败责任落实机制，深化以案促改促治，注重科技赋能，加快推进数字纪检监察体系建设，严格依规依纪依法使用。</w:t>
      </w:r>
    </w:p>
    <w:p w14:paraId="293B6E9E">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r>
        <w:rPr>
          <w:rFonts w:hint="eastAsia" w:ascii="仿宋" w:hAnsi="仿宋" w:eastAsia="仿宋" w:cs="仿宋"/>
          <w:color w:val="262626"/>
          <w:spacing w:val="17"/>
          <w:sz w:val="31"/>
          <w:szCs w:val="31"/>
        </w:rPr>
        <w:t>第四，强化执纪执法为民，持续深化群众身边不正之风和腐败问题集中整治。深化农村集体“三资”管理、医保基金管理、养老服务等全国性整治项目，部署开展高标准农田建设问题整治，指导各地因地制宜抓好整治重点项目和民生实事，深入整治违规异地执法、趋利性执法。研究制定常态化开展整治工作意见，形成长效机制。推动县级主战场持续深化整治工作，发挥群众监督作用，提升基层监督能力。</w:t>
      </w:r>
    </w:p>
    <w:p w14:paraId="1B7CF0A6">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r>
        <w:rPr>
          <w:rFonts w:hint="eastAsia" w:ascii="仿宋" w:hAnsi="仿宋" w:eastAsia="仿宋" w:cs="仿宋"/>
          <w:color w:val="262626"/>
          <w:spacing w:val="17"/>
          <w:sz w:val="31"/>
          <w:szCs w:val="31"/>
        </w:rPr>
        <w:t>第五，强化政治巡视，增强巡视监督震慑力、穿透力、推动力。全面贯彻巡视工作方针，组织开展二十届中央第七轮、第八轮巡视。深化巡视巡察上下联动，加强对省区市巡视、中央单位内部巡视、对村巡察工作指导督导。统筹督促被巡视党组织抓好中央巡视整改工作，完善整改评估和问责机制，推动有效解决问题。</w:t>
      </w:r>
    </w:p>
    <w:p w14:paraId="4EF2D591">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r>
        <w:rPr>
          <w:rFonts w:hint="eastAsia" w:ascii="仿宋" w:hAnsi="仿宋" w:eastAsia="仿宋" w:cs="仿宋"/>
          <w:color w:val="262626"/>
          <w:spacing w:val="17"/>
          <w:sz w:val="31"/>
          <w:szCs w:val="31"/>
        </w:rPr>
        <w:t>第六，强化铁军意识，不断提高纪检监察工作规范化法治化正规化水平。巩固拓展“纪检监察工作规范化法治化正规化建设年”行动成果，再集中抓两年，努力取得更大成效。铸牢绝对忠诚，突出政治教育、党性教育，做到政治过硬。深化纪检监察机构改革，分级分类开展全员培训，强化实战练兵、以干带训，做到能力过硬。发扬斗争精神，加强监督执纪执法标准化建设，协助党中央修订《中国共产党纪律检查机关监督执纪工作规则》，强化法治意识、程序意识、证据意识，做到作风过硬。永葆敬畏之心，完善内部权力制约机制和管理监督体系，国家监委向全国人大常委会报告专项工作，主动接受监督，坚决防治“灯下黑”，做到廉洁过硬。</w:t>
      </w:r>
    </w:p>
    <w:p w14:paraId="59C6C14D">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r>
        <w:rPr>
          <w:rFonts w:hint="eastAsia" w:ascii="仿宋" w:hAnsi="仿宋" w:eastAsia="仿宋" w:cs="仿宋"/>
          <w:color w:val="262626"/>
          <w:spacing w:val="17"/>
          <w:sz w:val="31"/>
          <w:szCs w:val="31"/>
        </w:rPr>
        <w:t>全会号召，要更加紧密地团结在以习近平同志为核心的党中央周围，顽强拼搏、锐意进取，持续推进新时代新征程纪检监察工作高质量发展，为以中国式现代化全面推进强国建设、民族复兴伟业作出更大贡献。</w:t>
      </w:r>
    </w:p>
    <w:p w14:paraId="17B99C2B">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sectPr>
          <w:footerReference r:id="rId7" w:type="default"/>
          <w:pgSz w:w="11907" w:h="16839"/>
          <w:pgMar w:top="1431" w:right="1503" w:bottom="1397" w:left="1522" w:header="0" w:footer="1197" w:gutter="0"/>
          <w:pgNumType w:fmt="decimal"/>
          <w:cols w:space="720" w:num="1"/>
        </w:sectPr>
      </w:pPr>
    </w:p>
    <w:p w14:paraId="601809C9">
      <w:pPr>
        <w:pStyle w:val="2"/>
        <w:bidi w:val="0"/>
      </w:pPr>
      <w:bookmarkStart w:id="6" w:name="bookmark2"/>
      <w:bookmarkEnd w:id="6"/>
      <w:r>
        <w:t>习近平在省部级主要领导干部学习贯彻党的二十届四中全会精神专题研讨班</w:t>
      </w:r>
      <w:r>
        <w:tab/>
      </w:r>
      <w:r>
        <w:t>开班式上发表重要讲话</w:t>
      </w:r>
    </w:p>
    <w:p w14:paraId="0394F3E1">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90" w:firstLineChars="200"/>
        <w:jc w:val="both"/>
        <w:textAlignment w:val="baseline"/>
        <w:rPr>
          <w:rFonts w:hint="eastAsia" w:ascii="仿宋" w:hAnsi="仿宋" w:eastAsia="仿宋" w:cs="仿宋"/>
          <w:color w:val="262626"/>
          <w:spacing w:val="17"/>
          <w:sz w:val="31"/>
          <w:szCs w:val="31"/>
        </w:rPr>
      </w:pPr>
      <w:r>
        <w:rPr>
          <w:rFonts w:hint="eastAsia" w:ascii="仿宋" w:hAnsi="仿宋" w:eastAsia="仿宋" w:cs="仿宋"/>
          <w:b/>
          <w:bCs/>
          <w:color w:val="262626"/>
          <w:spacing w:val="17"/>
          <w:sz w:val="31"/>
          <w:szCs w:val="31"/>
        </w:rPr>
        <w:t>新华社北京1月20日电</w:t>
      </w:r>
      <w:r>
        <w:rPr>
          <w:rFonts w:hint="eastAsia" w:ascii="仿宋" w:hAnsi="仿宋" w:eastAsia="仿宋" w:cs="仿宋"/>
          <w:color w:val="262626"/>
          <w:spacing w:val="17"/>
          <w:sz w:val="31"/>
          <w:szCs w:val="31"/>
        </w:rPr>
        <w:t>省部级主要领导干部学习贯彻党的二十届四中全会精神专题研讨班20日上午在中央党校（国家行政学院）开班。中共中央总书记、国家主席、中央军委主席习近平在开班式上发表重要讲话强调，要把学习贯彻党的二十届四中全会精神不断引向深入，更好统一思想、凝心聚力，在党中央坚强领导下扎实做好各项工作，努力实现“十五五”良好开局。</w:t>
      </w:r>
    </w:p>
    <w:p w14:paraId="7AB7BD51">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r>
        <w:rPr>
          <w:rFonts w:hint="eastAsia" w:ascii="仿宋" w:hAnsi="仿宋" w:eastAsia="仿宋" w:cs="仿宋"/>
          <w:color w:val="262626"/>
          <w:spacing w:val="17"/>
          <w:sz w:val="31"/>
          <w:szCs w:val="31"/>
        </w:rPr>
        <w:t>中共中央政治局常委李强主持开班式，中共中央政治局常委赵乐际、王沪宁、蔡奇、丁薛祥、李希，国家副主席韩正出席开班式。</w:t>
      </w:r>
    </w:p>
    <w:p w14:paraId="0D0C01D2">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r>
        <w:rPr>
          <w:rFonts w:hint="eastAsia" w:ascii="仿宋" w:hAnsi="仿宋" w:eastAsia="仿宋" w:cs="仿宋"/>
          <w:color w:val="262626"/>
          <w:spacing w:val="17"/>
          <w:sz w:val="31"/>
          <w:szCs w:val="31"/>
        </w:rPr>
        <w:t>习近平指出，制定和实施五年规划是我们党治国理政一条重要经验，是中国特色社会主义制度一个重要政治优势，有利于实现党的领导，有利于集中力量办大事，有利于前瞻性把握战略问题，有利于保持事业连续性。在制定实施五年规划的长期实践中，我们党创造积累了丰富经验，包括坚持党中央集中统一领导，坚持从实际出发，坚持全国一盘棋，坚持发扬民主、集思广益，坚持规划法定原则等。我们要坚定制度自信，不断结合新的实际把这一优势发扬光大。</w:t>
      </w:r>
    </w:p>
    <w:p w14:paraId="73F4073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r>
        <w:rPr>
          <w:rFonts w:hint="eastAsia" w:ascii="仿宋" w:hAnsi="仿宋" w:eastAsia="仿宋" w:cs="仿宋"/>
          <w:color w:val="262626"/>
          <w:spacing w:val="17"/>
          <w:sz w:val="31"/>
          <w:szCs w:val="31"/>
        </w:rPr>
        <w:t>习近平强调，党的二十届四中全会对“十五五”时期经济社会发展作出战略部署，要全面深刻准确领会和把握。全面，就是要以全局视野领会全会精神，将各项部署作为一个整体来把握，不能顾此失彼。深刻，就是要知其然又知其所以然，既明白是什么，又明白为什么、怎么做，真正理解透彻。准确，就是要精准把握政策界限和尺度，做到该为的必须为、能为的努力为、不该为的决不为。</w:t>
      </w:r>
    </w:p>
    <w:p w14:paraId="2D3B9EC2">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r>
        <w:rPr>
          <w:rFonts w:hint="eastAsia" w:ascii="仿宋" w:hAnsi="仿宋" w:eastAsia="仿宋" w:cs="仿宋"/>
          <w:color w:val="262626"/>
          <w:spacing w:val="17"/>
          <w:sz w:val="31"/>
          <w:szCs w:val="31"/>
        </w:rPr>
        <w:t>习近平指出，我国发展处于战略机遇和风险挑战并存、不确定难预料因素增多的时期。我们分析形势，既要把各种因素考虑周全，又要善于把握其中一些关键因素如国际形势、新一轮科技革命和产业变革等的新变化。要胸怀全局、登高望远，在战略上保持定力，在战术上精心运筹，不断增强我国发展的确定性和可持续性。</w:t>
      </w:r>
    </w:p>
    <w:p w14:paraId="17D568D7">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r>
        <w:rPr>
          <w:rFonts w:hint="eastAsia" w:ascii="仿宋" w:hAnsi="仿宋" w:eastAsia="仿宋" w:cs="仿宋"/>
          <w:color w:val="262626"/>
          <w:spacing w:val="17"/>
          <w:sz w:val="31"/>
          <w:szCs w:val="31"/>
        </w:rPr>
        <w:t>习近平强调，建设现代化产业体系、实现产业体系整体跃升，是“十五五”时期的重要战略任务。各地区各行业要找准定位，坚持智能化、绿色化、融合化方向，发挥比较优势，形成上下游产业相互衔接、各展其长、同向发力的生动局面。要保持制造业合理比重，大力发展先进制造业。因地制宜发展新质生产力，推动科技创新和产业创新深度融合。要建设现代化基础设施。</w:t>
      </w:r>
    </w:p>
    <w:p w14:paraId="690C700F">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r>
        <w:rPr>
          <w:rFonts w:hint="eastAsia" w:ascii="仿宋" w:hAnsi="仿宋" w:eastAsia="仿宋" w:cs="仿宋"/>
          <w:color w:val="262626"/>
          <w:spacing w:val="17"/>
          <w:sz w:val="31"/>
          <w:szCs w:val="31"/>
        </w:rPr>
        <w:t>习近平指出，我国人口多、市场大、产业全、发展动能强，有条件加快构建新发展格局。要坚持以国内大循环为主体，正确处理消费和投资、需求和供给的关系，坚持惠民生和促消费、投资于物和投资于人紧密结合，努力提高国民经济循环质量和效率，让内需成为经济发展的主动力。要以做强国内大循环提升扩大高水平对外开放的自主性，以拓展国际循环增强国内改革发展的活力，努力实现内外联通、互促共进。</w:t>
      </w:r>
    </w:p>
    <w:p w14:paraId="059BF4F2">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r>
        <w:rPr>
          <w:rFonts w:hint="eastAsia" w:ascii="仿宋" w:hAnsi="仿宋" w:eastAsia="仿宋" w:cs="仿宋"/>
          <w:color w:val="262626"/>
          <w:spacing w:val="17"/>
          <w:sz w:val="31"/>
          <w:szCs w:val="31"/>
        </w:rPr>
        <w:t>习近平强调，经济发展和社会发展相辅相成，必须协调并进。要把改善民生作为促进社会发展的重点，在发展经济的同时稳步提高人民生活品质。要坚持党建引领，强化法治保障，夯实基层基础，切实提高社会治理水平。要统筹发展和安全，有效防范化解各类风险，切实维护国家安全和社会稳定。</w:t>
      </w:r>
    </w:p>
    <w:p w14:paraId="4AC72B63">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r>
        <w:rPr>
          <w:rFonts w:hint="eastAsia" w:ascii="仿宋" w:hAnsi="仿宋" w:eastAsia="仿宋" w:cs="仿宋"/>
          <w:color w:val="262626"/>
          <w:spacing w:val="17"/>
          <w:sz w:val="31"/>
          <w:szCs w:val="31"/>
        </w:rPr>
        <w:t>习近平指出，要坚持科学决策、民主决策、依法决策，编制好国家和地方“十五五”规划纲要及专项规划。地方规划和专项规划要与国家整体规划衔接好，体现国家整体规划的精神和要求，同时要因地因事制宜，把需要和可能统一起来，确保定了就做得到、能落地见效。</w:t>
      </w:r>
    </w:p>
    <w:p w14:paraId="5D0F2B7E">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r>
        <w:rPr>
          <w:rFonts w:hint="eastAsia" w:ascii="仿宋" w:hAnsi="仿宋" w:eastAsia="仿宋" w:cs="仿宋"/>
          <w:color w:val="262626"/>
          <w:spacing w:val="17"/>
          <w:sz w:val="31"/>
          <w:szCs w:val="31"/>
        </w:rPr>
        <w:t>习近平强调，顺利完成“十五五”时期目标任务，必须着力提高党领导经济社会发展能力和水平。各级干部特别是领导干部要进一步加强学习，钻研党的创新理论，提高专业素养，增强实干本领。要树立和践行正确政绩观，坚持从实际出发、按规律办事，自觉为人民出政绩、以实干出政绩。要大力弘扬斗争精神，勇于挺身而出、迎难而上，善于战风险、迎挑战、克难关。要保持反腐败高压态势，一步不停歇、半步不退让，一体推进不敢腐、不能腐、不想腐。</w:t>
      </w:r>
    </w:p>
    <w:p w14:paraId="57EC9F3C">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r>
        <w:rPr>
          <w:rFonts w:hint="eastAsia" w:ascii="仿宋" w:hAnsi="仿宋" w:eastAsia="仿宋" w:cs="仿宋"/>
          <w:color w:val="262626"/>
          <w:spacing w:val="17"/>
          <w:sz w:val="31"/>
          <w:szCs w:val="31"/>
        </w:rPr>
        <w:t>李强在主持开班式时指出，习近平总书记的重要讲话高屋建瓴、立意深远、催人奋进，具有很强的政治性、理论性、针对性、指导性，对于全党特别是高级干部深刻认识“十四五”时期党和国家事业取得的重大成就，准确把握“十五五”时期经济社会发展的指导方针、主要目标、重点任务，保持战略定力，增强必胜信心，奋力开创中国式现代化建设新局面，具有十分重要的意义。要深刻理解总书记重要讲话的丰富内涵、精髓要义和实践要求，深刻领悟“两个确立”的决定性意义，坚决做到“两个维护”，自觉把思想和行动统一到总书记重要讲话精神和党中央决策部署上来。要学以致用、知行合一，把学习成果转化为实干实绩，推动高质量发展不断取得新成效。</w:t>
      </w:r>
    </w:p>
    <w:p w14:paraId="2ED18C32">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r>
        <w:rPr>
          <w:rFonts w:hint="eastAsia" w:ascii="仿宋" w:hAnsi="仿宋" w:eastAsia="仿宋" w:cs="仿宋"/>
          <w:color w:val="262626"/>
          <w:spacing w:val="17"/>
          <w:sz w:val="31"/>
          <w:szCs w:val="31"/>
        </w:rPr>
        <w:t>中共中央政治局委员、中央书记处书记，中央军委副主席，全国人大常委会党员副委员长，国务委员，最高人民法院院长，最高人民检察院检察长，全国政协党员副主席出席开班式。</w:t>
      </w:r>
    </w:p>
    <w:p w14:paraId="0BFCF699">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r>
        <w:rPr>
          <w:rFonts w:hint="eastAsia" w:ascii="仿宋" w:hAnsi="仿宋" w:eastAsia="仿宋" w:cs="仿宋"/>
          <w:color w:val="262626"/>
          <w:spacing w:val="17"/>
          <w:sz w:val="31"/>
          <w:szCs w:val="31"/>
        </w:rPr>
        <w:t>各省区市和新疆生产建设兵团、中央和国家机关有关部门、有关人民团体，中央管理的金融机构、企业、高校，解放军各单位和武警部队主要负责同志参加研讨班。各民主党派中央、全国工商联及有关方面负责同志列席开班式。</w:t>
      </w:r>
    </w:p>
    <w:p w14:paraId="2A43EFE7">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p>
    <w:sectPr>
      <w:footerReference r:id="rId8" w:type="default"/>
      <w:pgSz w:w="11907" w:h="16839"/>
      <w:pgMar w:top="1431" w:right="1482" w:bottom="1402" w:left="1521" w:header="0" w:footer="1201"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0F31B">
    <w:pPr>
      <w:spacing w:line="223" w:lineRule="auto"/>
      <w:ind w:left="438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2506DC">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02506DC">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BD2DA">
    <w:pPr>
      <w:spacing w:line="220" w:lineRule="auto"/>
      <w:ind w:left="439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E6A995">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6E6A995">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7E01F">
    <w:pPr>
      <w:spacing w:line="220" w:lineRule="auto"/>
      <w:ind w:left="439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BEFF89">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7BEFF89">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49429">
    <w:pPr>
      <w:spacing w:line="220" w:lineRule="auto"/>
      <w:ind w:left="436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AE4AB8">
                          <w:pPr>
                            <w:pStyle w:val="4"/>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1AE4AB8">
                    <w:pPr>
                      <w:pStyle w:val="4"/>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09405A9"/>
    <w:rsid w:val="047223C8"/>
    <w:rsid w:val="10243681"/>
    <w:rsid w:val="155F79D7"/>
    <w:rsid w:val="18E1341B"/>
    <w:rsid w:val="1F4C7E66"/>
    <w:rsid w:val="2C772889"/>
    <w:rsid w:val="30CA4CB3"/>
    <w:rsid w:val="343A12B1"/>
    <w:rsid w:val="3A585A70"/>
    <w:rsid w:val="438E56E3"/>
    <w:rsid w:val="47C44F56"/>
    <w:rsid w:val="49567D19"/>
    <w:rsid w:val="4DC07F2D"/>
    <w:rsid w:val="4F8A149D"/>
    <w:rsid w:val="53026A36"/>
    <w:rsid w:val="5C61531C"/>
    <w:rsid w:val="5FD81F33"/>
    <w:rsid w:val="62004FA2"/>
    <w:rsid w:val="64A96A2B"/>
    <w:rsid w:val="6B6D21C1"/>
    <w:rsid w:val="72962B51"/>
    <w:rsid w:val="76622145"/>
    <w:rsid w:val="7D8522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qFormat/>
    <w:uiPriority w:val="0"/>
    <w:pPr>
      <w:keepNext/>
      <w:keepLines/>
      <w:spacing w:beforeLines="0" w:beforeAutospacing="0" w:afterLines="0" w:afterAutospacing="0" w:line="360" w:lineRule="auto"/>
      <w:jc w:val="center"/>
      <w:outlineLvl w:val="0"/>
    </w:pPr>
    <w:rPr>
      <w:rFonts w:ascii="Arial" w:hAnsi="Arial" w:eastAsia="微软雅黑"/>
      <w:b/>
      <w:kern w:val="44"/>
      <w:sz w:val="36"/>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微软雅黑" w:hAnsi="微软雅黑" w:eastAsia="微软雅黑" w:cs="微软雅黑"/>
      <w:sz w:val="88"/>
      <w:szCs w:val="88"/>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Strong"/>
    <w:basedOn w:val="9"/>
    <w:qFormat/>
    <w:uiPriority w:val="0"/>
    <w:rPr>
      <w:b/>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WPSOffice手动目录 1"/>
    <w:qFormat/>
    <w:uiPriority w:val="0"/>
    <w:pPr>
      <w:ind w:leftChars="0"/>
    </w:pPr>
    <w:rPr>
      <w:rFonts w:ascii="Arial" w:hAnsi="Arial" w:eastAsia="Arial" w:cs="Arial"/>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20</Pages>
  <Words>10002</Words>
  <Characters>10072</Characters>
  <TotalTime>24</TotalTime>
  <ScaleCrop>false</ScaleCrop>
  <LinksUpToDate>false</LinksUpToDate>
  <CharactersWithSpaces>10131</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2024-01-18T16:14:00Z</dcterms:created>
  <dc:creator>Administrator</dc:creator>
  <cp:lastModifiedBy>Wang</cp:lastModifiedBy>
  <cp:lastPrinted>2025-12-04T07:41:00Z</cp:lastPrinted>
  <dcterms:modified xsi:type="dcterms:W3CDTF">2026-03-06T07:34:01Z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2025-03-13T16:10:59Z</vt:filetime>
  </property>
  <property fmtid="{D5CDD505-2E9C-101B-9397-08002B2CF9AE}" pid="4" name="KSOTemplateDocerSaveRecord">
    <vt:lpwstr>eyJoZGlkIjoiYjQ0OGVmNzc3ZDcyNzQ3NjE5MGQxYzFmZTBmZTVkMjYiLCJ1c2VySWQiOiIyOTExNDU4MzMifQ==</vt:lpwstr>
  </property>
  <property fmtid="{D5CDD505-2E9C-101B-9397-08002B2CF9AE}" pid="5" name="KSOProductBuildVer">
    <vt:lpwstr>2052-12.1.0.25225</vt:lpwstr>
  </property>
  <property fmtid="{D5CDD505-2E9C-101B-9397-08002B2CF9AE}" pid="6" name="ICV">
    <vt:lpwstr>A50FF3A82B9242C7A4395E54EC7D4AA1_13</vt:lpwstr>
  </property>
</Properties>
</file>