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footerReference r:id="rId5" w:type="default"/>
          <w:pgSz w:w="11907" w:h="16839"/>
          <w:pgMar w:top="1431" w:right="570" w:bottom="0" w:left="1432" w:header="0" w:footer="0" w:gutter="0"/>
          <w:pgNumType w:fmt="decimal"/>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17" w:name="bookmark1"/>
                  <w:bookmarkEnd w:id="17"/>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75B62011">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 xml:space="preserve">11 </w:t>
      </w:r>
      <w:r>
        <w:rPr>
          <w:spacing w:val="-28"/>
          <w:sz w:val="40"/>
          <w:szCs w:val="40"/>
        </w:rPr>
        <w:t>月</w:t>
      </w:r>
      <w:r>
        <w:rPr>
          <w:rFonts w:hint="eastAsia"/>
          <w:spacing w:val="-28"/>
          <w:sz w:val="40"/>
          <w:szCs w:val="40"/>
          <w:lang w:val="en-US" w:eastAsia="zh-CN"/>
        </w:rPr>
        <w:t xml:space="preserve"> 20</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rFonts w:hint="eastAsia"/>
          <w:spacing w:val="-10"/>
          <w:sz w:val="28"/>
          <w:szCs w:val="28"/>
          <w:lang w:val="en-US" w:eastAsia="zh-CN"/>
        </w:rPr>
        <w:t xml:space="preserve"> </w:t>
      </w:r>
      <w:r>
        <w:rPr>
          <w:spacing w:val="-10"/>
          <w:sz w:val="28"/>
          <w:szCs w:val="28"/>
        </w:rPr>
        <w:t xml:space="preserve">第 </w:t>
      </w:r>
      <w:r>
        <w:rPr>
          <w:rFonts w:hint="eastAsia"/>
          <w:spacing w:val="-10"/>
          <w:sz w:val="28"/>
          <w:szCs w:val="28"/>
          <w:lang w:val="en-US" w:eastAsia="zh-CN"/>
        </w:rPr>
        <w:t>11</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61B78613">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bookmarkStart w:id="18" w:name="_GoBack"/>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_Toc16537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中共中央关于制定国民经济和社会发展</w:t>
          </w:r>
          <w:r>
            <w:rPr>
              <w:rFonts w:hint="eastAsia" w:ascii="楷体" w:hAnsi="楷体" w:eastAsia="楷体" w:cs="楷体"/>
              <w:sz w:val="31"/>
              <w:szCs w:val="31"/>
            </w:rPr>
            <w:fldChar w:fldCharType="end"/>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_Toc22552 </w:instrText>
          </w:r>
          <w:r>
            <w:rPr>
              <w:rFonts w:hint="eastAsia" w:ascii="楷体" w:hAnsi="楷体" w:eastAsia="楷体" w:cs="楷体"/>
              <w:sz w:val="31"/>
              <w:szCs w:val="31"/>
            </w:rPr>
            <w:fldChar w:fldCharType="separate"/>
          </w:r>
          <w:r>
            <w:rPr>
              <w:rFonts w:hint="eastAsia" w:ascii="楷体" w:hAnsi="楷体" w:eastAsia="楷体" w:cs="楷体"/>
              <w:sz w:val="31"/>
              <w:szCs w:val="31"/>
            </w:rPr>
            <w:t>第十五个五年规划的建议</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_Toc22552 \h </w:instrText>
          </w:r>
          <w:r>
            <w:rPr>
              <w:rFonts w:hint="eastAsia" w:ascii="楷体" w:hAnsi="楷体" w:eastAsia="楷体" w:cs="楷体"/>
              <w:sz w:val="31"/>
              <w:szCs w:val="31"/>
            </w:rPr>
            <w:fldChar w:fldCharType="separate"/>
          </w:r>
          <w:r>
            <w:rPr>
              <w:rFonts w:hint="eastAsia" w:ascii="楷体" w:hAnsi="楷体" w:eastAsia="楷体" w:cs="楷体"/>
              <w:sz w:val="31"/>
              <w:szCs w:val="31"/>
            </w:rPr>
            <w:t>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522C8D0E">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_Toc22007 </w:instrText>
          </w:r>
          <w:r>
            <w:rPr>
              <w:rFonts w:hint="eastAsia" w:ascii="楷体" w:hAnsi="楷体" w:eastAsia="楷体" w:cs="楷体"/>
              <w:sz w:val="31"/>
              <w:szCs w:val="31"/>
            </w:rPr>
            <w:fldChar w:fldCharType="separate"/>
          </w:r>
          <w:r>
            <w:rPr>
              <w:rFonts w:hint="eastAsia" w:ascii="楷体" w:hAnsi="楷体" w:eastAsia="楷体" w:cs="楷体"/>
              <w:sz w:val="31"/>
              <w:szCs w:val="31"/>
            </w:rPr>
            <w:t>关于《中共中央关于制定国民经济和社会发展第十五个五年规划的建议》的说明</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_Toc22007 \h </w:instrText>
          </w:r>
          <w:r>
            <w:rPr>
              <w:rFonts w:hint="eastAsia" w:ascii="楷体" w:hAnsi="楷体" w:eastAsia="楷体" w:cs="楷体"/>
              <w:sz w:val="31"/>
              <w:szCs w:val="31"/>
            </w:rPr>
            <w:fldChar w:fldCharType="separate"/>
          </w:r>
          <w:r>
            <w:rPr>
              <w:rFonts w:hint="eastAsia" w:ascii="楷体" w:hAnsi="楷体" w:eastAsia="楷体" w:cs="楷体"/>
              <w:sz w:val="31"/>
              <w:szCs w:val="31"/>
            </w:rPr>
            <w:t>36</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4833963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_Toc17905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习近平：认真学习贯彻党的二十届四中全会精神高标准建设海南自由贸易港</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_Toc17905 \h </w:instrText>
          </w:r>
          <w:r>
            <w:rPr>
              <w:rFonts w:hint="eastAsia" w:ascii="楷体" w:hAnsi="楷体" w:eastAsia="楷体" w:cs="楷体"/>
              <w:sz w:val="31"/>
              <w:szCs w:val="31"/>
            </w:rPr>
            <w:fldChar w:fldCharType="separate"/>
          </w:r>
          <w:r>
            <w:rPr>
              <w:rFonts w:hint="eastAsia" w:ascii="楷体" w:hAnsi="楷体" w:eastAsia="楷体" w:cs="楷体"/>
              <w:sz w:val="31"/>
              <w:szCs w:val="31"/>
            </w:rPr>
            <w:t>45</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0BAB9223">
          <w:pPr>
            <w:pStyle w:val="6"/>
            <w:keepNext w:val="0"/>
            <w:keepLines w:val="0"/>
            <w:pageBreakBefore w:val="0"/>
            <w:widowControl/>
            <w:tabs>
              <w:tab w:val="right" w:pos="6400"/>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_Toc21807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习近平在广东考察时强调 深入学习宣传贯彻党的二十届四中全会精神 以全面深化改革开放</w:t>
          </w:r>
          <w:r>
            <w:rPr>
              <w:rFonts w:hint="eastAsia" w:ascii="楷体" w:hAnsi="楷体" w:eastAsia="楷体" w:cs="楷体"/>
              <w:sz w:val="31"/>
              <w:szCs w:val="31"/>
            </w:rPr>
            <w:tab/>
          </w:r>
          <w:r>
            <w:rPr>
              <w:rFonts w:hint="eastAsia" w:ascii="楷体" w:hAnsi="楷体" w:eastAsia="楷体" w:cs="楷体"/>
              <w:sz w:val="31"/>
              <w:szCs w:val="31"/>
            </w:rPr>
            <w:t>推动高质量发展</w:t>
          </w:r>
          <w:r>
            <w:rPr>
              <w:rFonts w:hint="eastAsia" w:ascii="楷体" w:hAnsi="楷体" w:eastAsia="楷体" w:cs="楷体"/>
              <w:sz w:val="31"/>
              <w:szCs w:val="31"/>
              <w:lang w:eastAsia="zh-CN"/>
            </w:rPr>
            <w:t>………………………………</w:t>
          </w:r>
          <w:r>
            <w:rPr>
              <w:rFonts w:hint="eastAsia" w:ascii="楷体" w:hAnsi="楷体" w:eastAsia="楷体" w:cs="楷体"/>
              <w:sz w:val="31"/>
              <w:szCs w:val="31"/>
              <w:lang w:val="en-US" w:eastAsia="zh-CN"/>
            </w:rPr>
            <w:t>……………</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_Toc21807 \h </w:instrText>
          </w:r>
          <w:r>
            <w:rPr>
              <w:rFonts w:hint="eastAsia" w:ascii="楷体" w:hAnsi="楷体" w:eastAsia="楷体" w:cs="楷体"/>
              <w:sz w:val="31"/>
              <w:szCs w:val="31"/>
            </w:rPr>
            <w:fldChar w:fldCharType="separate"/>
          </w:r>
          <w:r>
            <w:rPr>
              <w:rFonts w:hint="eastAsia" w:ascii="楷体" w:hAnsi="楷体" w:eastAsia="楷体" w:cs="楷体"/>
              <w:sz w:val="31"/>
              <w:szCs w:val="31"/>
            </w:rPr>
            <w:t>48</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46ABC7F3">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_Toc30238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习近平对全面依法治国工作作出重要指示</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_Toc30238 \h </w:instrText>
          </w:r>
          <w:r>
            <w:rPr>
              <w:rFonts w:hint="eastAsia" w:ascii="楷体" w:hAnsi="楷体" w:eastAsia="楷体" w:cs="楷体"/>
              <w:sz w:val="31"/>
              <w:szCs w:val="31"/>
            </w:rPr>
            <w:fldChar w:fldCharType="separate"/>
          </w:r>
          <w:r>
            <w:rPr>
              <w:rFonts w:hint="eastAsia" w:ascii="楷体" w:hAnsi="楷体" w:eastAsia="楷体" w:cs="楷体"/>
              <w:sz w:val="31"/>
              <w:szCs w:val="31"/>
            </w:rPr>
            <w:t>51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rPr>
            <w:fldChar w:fldCharType="end"/>
          </w:r>
          <w:bookmarkEnd w:id="18"/>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pgNumType w:fmt="decimal"/>
          <w:cols w:equalWidth="0" w:num="2">
            <w:col w:w="2909" w:space="100"/>
            <w:col w:w="6895"/>
          </w:cols>
        </w:sectPr>
      </w:pPr>
    </w:p>
    <w:p w14:paraId="1FC4EC42">
      <w:pPr>
        <w:pStyle w:val="2"/>
        <w:pageBreakBefore w:val="0"/>
        <w:widowControl/>
        <w:kinsoku w:val="0"/>
        <w:wordWrap/>
        <w:overflowPunct/>
        <w:topLinePunct w:val="0"/>
        <w:autoSpaceDE w:val="0"/>
        <w:autoSpaceDN w:val="0"/>
        <w:bidi w:val="0"/>
        <w:adjustRightInd w:val="0"/>
        <w:snapToGrid w:val="0"/>
        <w:spacing w:line="240" w:lineRule="auto"/>
        <w:textAlignment w:val="baseline"/>
      </w:pPr>
      <w:bookmarkStart w:id="0" w:name="bookmark19"/>
      <w:bookmarkEnd w:id="0"/>
      <w:bookmarkStart w:id="1" w:name="bookmark17"/>
      <w:bookmarkEnd w:id="1"/>
      <w:bookmarkStart w:id="2" w:name="bookmark5"/>
      <w:bookmarkEnd w:id="2"/>
      <w:bookmarkStart w:id="3" w:name="_Toc16537"/>
      <w:r>
        <w:t>中共中央关于制定国民经济和社会发展</w:t>
      </w:r>
      <w:bookmarkEnd w:id="3"/>
      <w:bookmarkStart w:id="4" w:name="bookmark2"/>
      <w:bookmarkEnd w:id="4"/>
    </w:p>
    <w:p w14:paraId="07739325">
      <w:pPr>
        <w:pStyle w:val="2"/>
        <w:pageBreakBefore w:val="0"/>
        <w:widowControl/>
        <w:kinsoku w:val="0"/>
        <w:wordWrap/>
        <w:overflowPunct/>
        <w:topLinePunct w:val="0"/>
        <w:autoSpaceDE w:val="0"/>
        <w:autoSpaceDN w:val="0"/>
        <w:bidi w:val="0"/>
        <w:adjustRightInd w:val="0"/>
        <w:snapToGrid w:val="0"/>
        <w:spacing w:line="240" w:lineRule="auto"/>
        <w:textAlignment w:val="baseline"/>
      </w:pPr>
      <w:bookmarkStart w:id="5" w:name="_Toc22552"/>
      <w:r>
        <w:t>第十五个五年规划的建议</w:t>
      </w:r>
      <w:bookmarkEnd w:id="5"/>
    </w:p>
    <w:p w14:paraId="5A425EC1">
      <w:pPr>
        <w:pageBreakBefore w:val="0"/>
        <w:widowControl/>
        <w:kinsoku w:val="0"/>
        <w:wordWrap/>
        <w:overflowPunct/>
        <w:topLinePunct w:val="0"/>
        <w:autoSpaceDE w:val="0"/>
        <w:autoSpaceDN w:val="0"/>
        <w:bidi w:val="0"/>
        <w:adjustRightInd w:val="0"/>
        <w:snapToGrid w:val="0"/>
        <w:spacing w:before="69" w:line="240" w:lineRule="auto"/>
        <w:ind w:left="734"/>
        <w:textAlignment w:val="baseline"/>
        <w:rPr>
          <w:rFonts w:ascii="楷体" w:hAnsi="楷体" w:eastAsia="楷体" w:cs="楷体"/>
          <w:sz w:val="31"/>
          <w:szCs w:val="31"/>
        </w:rPr>
      </w:pPr>
      <w:r>
        <w:rPr>
          <w:rFonts w:ascii="楷体" w:hAnsi="楷体" w:eastAsia="楷体" w:cs="楷体"/>
          <w:b/>
          <w:bCs/>
          <w:sz w:val="31"/>
          <w:szCs w:val="31"/>
        </w:rPr>
        <w:t>（</w:t>
      </w:r>
      <w:r>
        <w:rPr>
          <w:rFonts w:ascii="Times New Roman" w:hAnsi="Times New Roman" w:eastAsia="Times New Roman" w:cs="Times New Roman"/>
          <w:b/>
          <w:bCs/>
          <w:sz w:val="31"/>
          <w:szCs w:val="31"/>
        </w:rPr>
        <w:t xml:space="preserve">2025 </w:t>
      </w:r>
      <w:r>
        <w:rPr>
          <w:rFonts w:ascii="楷体" w:hAnsi="楷体" w:eastAsia="楷体" w:cs="楷体"/>
          <w:b/>
          <w:bCs/>
          <w:sz w:val="31"/>
          <w:szCs w:val="31"/>
        </w:rPr>
        <w:t>年</w:t>
      </w:r>
      <w:r>
        <w:rPr>
          <w:rFonts w:ascii="楷体" w:hAnsi="楷体" w:eastAsia="楷体" w:cs="楷体"/>
          <w:spacing w:val="-43"/>
          <w:sz w:val="31"/>
          <w:szCs w:val="31"/>
        </w:rPr>
        <w:t xml:space="preserve"> </w:t>
      </w:r>
      <w:r>
        <w:rPr>
          <w:rFonts w:ascii="Times New Roman" w:hAnsi="Times New Roman" w:eastAsia="Times New Roman" w:cs="Times New Roman"/>
          <w:b/>
          <w:bCs/>
          <w:sz w:val="31"/>
          <w:szCs w:val="31"/>
        </w:rPr>
        <w:t>10</w:t>
      </w:r>
      <w:r>
        <w:rPr>
          <w:rFonts w:ascii="Times New Roman" w:hAnsi="Times New Roman" w:eastAsia="Times New Roman" w:cs="Times New Roman"/>
          <w:b/>
          <w:bCs/>
          <w:spacing w:val="31"/>
          <w:sz w:val="31"/>
          <w:szCs w:val="31"/>
        </w:rPr>
        <w:t xml:space="preserve"> </w:t>
      </w:r>
      <w:r>
        <w:rPr>
          <w:rFonts w:ascii="楷体" w:hAnsi="楷体" w:eastAsia="楷体" w:cs="楷体"/>
          <w:b/>
          <w:bCs/>
          <w:sz w:val="31"/>
          <w:szCs w:val="31"/>
        </w:rPr>
        <w:t>月</w:t>
      </w:r>
      <w:r>
        <w:rPr>
          <w:rFonts w:ascii="楷体" w:hAnsi="楷体" w:eastAsia="楷体" w:cs="楷体"/>
          <w:spacing w:val="-66"/>
          <w:sz w:val="31"/>
          <w:szCs w:val="31"/>
        </w:rPr>
        <w:t xml:space="preserve"> </w:t>
      </w:r>
      <w:r>
        <w:rPr>
          <w:rFonts w:ascii="Times New Roman" w:hAnsi="Times New Roman" w:eastAsia="Times New Roman" w:cs="Times New Roman"/>
          <w:b/>
          <w:bCs/>
          <w:sz w:val="31"/>
          <w:szCs w:val="31"/>
        </w:rPr>
        <w:t xml:space="preserve">23  </w:t>
      </w:r>
      <w:r>
        <w:rPr>
          <w:rFonts w:ascii="楷体" w:hAnsi="楷体" w:eastAsia="楷体" w:cs="楷体"/>
          <w:b/>
          <w:bCs/>
          <w:sz w:val="31"/>
          <w:szCs w:val="31"/>
        </w:rPr>
        <w:t>日中国共产党第二十届中央委员会</w:t>
      </w:r>
    </w:p>
    <w:p w14:paraId="45049F97">
      <w:pPr>
        <w:pageBreakBefore w:val="0"/>
        <w:widowControl/>
        <w:kinsoku w:val="0"/>
        <w:wordWrap/>
        <w:overflowPunct/>
        <w:topLinePunct w:val="0"/>
        <w:autoSpaceDE w:val="0"/>
        <w:autoSpaceDN w:val="0"/>
        <w:bidi w:val="0"/>
        <w:adjustRightInd w:val="0"/>
        <w:snapToGrid w:val="0"/>
        <w:spacing w:before="167" w:line="240" w:lineRule="auto"/>
        <w:ind w:left="2851"/>
        <w:textAlignment w:val="baseline"/>
        <w:rPr>
          <w:rFonts w:ascii="楷体" w:hAnsi="楷体" w:eastAsia="楷体" w:cs="楷体"/>
          <w:b/>
          <w:bCs/>
          <w:spacing w:val="4"/>
          <w:sz w:val="31"/>
          <w:szCs w:val="31"/>
        </w:rPr>
      </w:pPr>
      <w:r>
        <w:rPr>
          <w:rFonts w:ascii="楷体" w:hAnsi="楷体" w:eastAsia="楷体" w:cs="楷体"/>
          <w:b/>
          <w:bCs/>
          <w:spacing w:val="4"/>
          <w:sz w:val="31"/>
          <w:szCs w:val="31"/>
        </w:rPr>
        <w:t>第四次全体会议通过）</w:t>
      </w:r>
    </w:p>
    <w:p w14:paraId="7F5752EF">
      <w:pPr>
        <w:spacing w:before="167" w:line="222" w:lineRule="auto"/>
        <w:ind w:left="2851"/>
        <w:rPr>
          <w:rFonts w:ascii="楷体" w:hAnsi="楷体" w:eastAsia="楷体" w:cs="楷体"/>
          <w:b/>
          <w:bCs/>
          <w:spacing w:val="4"/>
          <w:sz w:val="31"/>
          <w:szCs w:val="31"/>
        </w:rPr>
      </w:pPr>
    </w:p>
    <w:p w14:paraId="459124F3">
      <w:pPr>
        <w:spacing w:before="100" w:line="334" w:lineRule="auto"/>
        <w:ind w:left="32" w:right="89" w:firstLine="649"/>
        <w:jc w:val="both"/>
        <w:rPr>
          <w:rFonts w:ascii="仿宋" w:hAnsi="仿宋" w:eastAsia="仿宋" w:cs="仿宋"/>
          <w:sz w:val="31"/>
          <w:szCs w:val="31"/>
        </w:rPr>
      </w:pPr>
      <w:r>
        <w:rPr>
          <w:rFonts w:ascii="仿宋" w:hAnsi="仿宋" w:eastAsia="仿宋" w:cs="仿宋"/>
          <w:color w:val="262626"/>
          <w:spacing w:val="17"/>
          <w:sz w:val="31"/>
          <w:szCs w:val="31"/>
        </w:rPr>
        <w:t>中国共产党第二十届中央委员会第四次全体会议深入分析</w:t>
      </w:r>
      <w:r>
        <w:rPr>
          <w:rFonts w:ascii="仿宋" w:hAnsi="仿宋" w:eastAsia="仿宋" w:cs="仿宋"/>
          <w:color w:val="262626"/>
          <w:spacing w:val="6"/>
          <w:sz w:val="31"/>
          <w:szCs w:val="31"/>
        </w:rPr>
        <w:t>国际国内形势，就制定国民经济和社会发展“十</w:t>
      </w:r>
      <w:r>
        <w:rPr>
          <w:rFonts w:ascii="仿宋" w:hAnsi="仿宋" w:eastAsia="仿宋" w:cs="仿宋"/>
          <w:color w:val="262626"/>
          <w:spacing w:val="5"/>
          <w:sz w:val="31"/>
          <w:szCs w:val="31"/>
        </w:rPr>
        <w:t>五五”规划提出</w:t>
      </w:r>
      <w:r>
        <w:rPr>
          <w:rFonts w:ascii="仿宋" w:hAnsi="仿宋" w:eastAsia="仿宋" w:cs="仿宋"/>
          <w:color w:val="262626"/>
          <w:spacing w:val="-4"/>
          <w:sz w:val="31"/>
          <w:szCs w:val="31"/>
        </w:rPr>
        <w:t>以下建议。</w:t>
      </w:r>
    </w:p>
    <w:p w14:paraId="5FDED4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一、“十五五”时期是基本实现社会主义现代化的关键时期</w:t>
      </w:r>
    </w:p>
    <w:p w14:paraId="37BE91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7749D6D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49C0F08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65C4B00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148C991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二、“十五五”时期经济社会发展的指导方针和主要目标</w:t>
      </w:r>
    </w:p>
    <w:p w14:paraId="15AAAEC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5CB418B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（5）“十五五”时期经济社会发展必须遵循的原则。</w:t>
      </w:r>
    </w:p>
    <w:p w14:paraId="74DAF98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——坚持党的全面领导。坚决维护党中央权威和集中统一领导，提高党把方向、谋大局、定政策、促改革能力，把党的领导贯穿经济社会发展各方面全过程，为我国社会主义现代化建设提供根本保证。</w:t>
      </w:r>
    </w:p>
    <w:p w14:paraId="03E972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50EC74E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4D667DD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413080E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4389009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——坚持统筹发展和安全。在发展中固安全，在安全中谋发展，强化底线思维，有效防范化解各类风险，增强经济和社会韧性，以新安全格局保障新发展格局。</w:t>
      </w:r>
    </w:p>
    <w:p w14:paraId="0754A55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（6）“十五五”时期经济社会发展的主要目标。</w:t>
      </w:r>
    </w:p>
    <w:p w14:paraId="42B595F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2EDD90A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216174E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1F59C6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1FC72F8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40744A7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——美丽中国建设取得新的重大进展。绿色生产生活方式基本形成，碳达峰目标如期实现，清洁低碳安全高效的新型能源体系初步建成，主要污染物排放总量持续减少，生态系统多样性稳定性持续性不断提升。</w:t>
      </w:r>
    </w:p>
    <w:p w14:paraId="6A01EFD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——国家安全屏障更加巩固。国家安全体系和能力进一步加强，重点领域风险得到有效防范化解，社会治理和公共安全治理水平明显提高，建军一百年奋斗目标如期实现，更高水平平安中国建设扎实推进。</w:t>
      </w:r>
    </w:p>
    <w:p w14:paraId="695CF00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2CEB2C7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bCs/>
          <w:color w:val="262626"/>
          <w:spacing w:val="0"/>
          <w:sz w:val="31"/>
          <w:szCs w:val="31"/>
        </w:rPr>
        <w:t>三、建设现代化产业体系，巩固壮大实体经济根基</w:t>
      </w:r>
    </w:p>
    <w:p w14:paraId="47B0515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799D4ED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42E76F0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6435292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491CAB3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（9）促进服务业优质高效发展。实施服务业扩能提质行动，</w:t>
      </w:r>
    </w:p>
    <w:p w14:paraId="13A9E21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5584344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28A0790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四、加快高水平科技自立自强，引领发展新质生产力</w:t>
      </w:r>
    </w:p>
    <w:p w14:paraId="782629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1D8F431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1D4B52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3F2AB7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007C6D1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094040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483DC85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五、建设强大国内市场，加快构建新发展格局</w:t>
      </w:r>
    </w:p>
    <w:p w14:paraId="14BB467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sectPr>
          <w:footerReference r:id="rId6" w:type="default"/>
          <w:pgSz w:w="11907" w:h="16839"/>
          <w:pgMar w:top="1431" w:right="1235" w:bottom="1397" w:left="1522" w:header="0" w:footer="1196" w:gutter="0"/>
          <w:pgNumType w:fmt="decimal" w:start="1"/>
          <w:cols w:space="720" w:num="1"/>
        </w:sectPr>
      </w:pPr>
    </w:p>
    <w:p w14:paraId="1C06830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703F98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2B2E1AC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1FA902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13DCE6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六、加快构建高水平社会主义市场经济体制，增强高质量发展动力</w:t>
      </w:r>
    </w:p>
    <w:p w14:paraId="111C6C0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高水平社会主义市场经济体制是中国式现代化的重要保障。坚持和完善社会主义基本经济制度，更好发挥经济体制改革牵引作用，完善宏观经济治理体系，确保高质量发展行稳致远。</w:t>
      </w:r>
    </w:p>
    <w:p w14:paraId="305AE4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38B375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2F5B6D5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6017E24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759D7FD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7D5DDC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七、扩大高水平对外开放，开创合作共赢新局面</w:t>
      </w:r>
    </w:p>
    <w:p w14:paraId="3AD1261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坚持开放合作、互利共赢是中国式现代化的必然要求。稳步扩大制度型开放，维护多边贸易体制，拓展国际循环，以开放促改革促发展，与世界各国共享机遇、共同发展。</w:t>
      </w:r>
    </w:p>
    <w:p w14:paraId="2DFB6ED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1BC0EB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7D6456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2AB8622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7ADDEF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八、加快农业农村现代化，扎实推进乡村全面振兴</w:t>
      </w:r>
    </w:p>
    <w:p w14:paraId="28C41A3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农业农村现代化关系中国式现代化全局和成色。坚持把解决好“三农”问题作为全党工作重中之重，促进城乡融合发展，持续巩固拓展脱贫攻坚成果，推动农村基本具备现代生活条件，加快建设农业强国。</w:t>
      </w:r>
    </w:p>
    <w:p w14:paraId="1C9A12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3F19C30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43CD46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60226BD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统筹建立常态化防止返贫致贫机制，坚持精准帮扶，完善兜底式保障，强化开发式帮扶，增强内生动力，分层分类帮扶欠发达地区，健全乡村振兴重点帮扶县支持政策，确保不发生规模性返贫致贫。</w:t>
      </w:r>
    </w:p>
    <w:p w14:paraId="70F9564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九、优化区域经济布局，促进区域协调发展</w:t>
      </w:r>
    </w:p>
    <w:p w14:paraId="7EB91D6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629692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573F11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0893E0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47C0DB0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520FB2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793CD20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十、激发全民族文化创新创造活力，繁荣发展社会主义文化</w:t>
      </w:r>
    </w:p>
    <w:p w14:paraId="1214378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74B2E43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59574C9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3A719D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5D40C1C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043E6D5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十一、加大保障和改善民生力度，扎实推进全体人民共同富裕</w:t>
      </w:r>
    </w:p>
    <w:p w14:paraId="08E91AC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实现人民对美好生活的向往是中国式现代化的出发点和落脚点。坚持尽力而为、量力而行，加强普惠性、基础性、兜底性民生建设，解决好人民群众急难愁盼问题，畅通社会流动渠道，提高人民生活品质。</w:t>
      </w:r>
    </w:p>
    <w:p w14:paraId="7510AF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28AA701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2AF9E4E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150CD68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1ABF15C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（41）推动房地产高质量发展。加快构建房地产发展新模式</w:t>
      </w:r>
      <w:r>
        <w:rPr>
          <w:rFonts w:hint="eastAsia" w:ascii="仿宋" w:hAnsi="仿宋" w:eastAsia="仿宋" w:cs="仿宋"/>
          <w:b w:val="0"/>
          <w:bCs w:val="0"/>
          <w:color w:val="262626"/>
          <w:spacing w:val="0"/>
          <w:sz w:val="31"/>
          <w:szCs w:val="31"/>
          <w:lang w:eastAsia="zh-CN"/>
        </w:rPr>
        <w:t>，</w:t>
      </w:r>
      <w:r>
        <w:rPr>
          <w:rFonts w:hint="eastAsia" w:ascii="仿宋" w:hAnsi="仿宋" w:eastAsia="仿宋" w:cs="仿宋"/>
          <w:b w:val="0"/>
          <w:bCs w:val="0"/>
          <w:color w:val="262626"/>
          <w:spacing w:val="0"/>
          <w:sz w:val="31"/>
          <w:szCs w:val="31"/>
        </w:rPr>
        <w:t>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1BA9E42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5D99C8F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7C2B907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316459D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十二、加快经济社会发展全面绿色转型，建设美丽中国</w:t>
      </w:r>
    </w:p>
    <w:p w14:paraId="70F41BE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绿色发展是中国式现代化的鲜明底色。牢固树立和践行绿水青山就是金山银山的理念，以碳达峰碳中和为牵引，协同推进降碳、减污、扩绿、增长，筑牢生态安全屏障，增强绿色发展动能。</w:t>
      </w:r>
    </w:p>
    <w:p w14:paraId="051AB0F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797F8E6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4BA1375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35F5224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17BA489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十三、推进国家安全体系和能力现代化，建设更高水平平安中国</w:t>
      </w:r>
    </w:p>
    <w:p w14:paraId="1417551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建设平安中国是中国式现代化的重要内容。坚定不移贯彻总体国家安全观，走中国特色社会主义社会治理之路，确保社会生机勃勃又井然有序。</w:t>
      </w:r>
    </w:p>
    <w:p w14:paraId="2CF727B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60D195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7CD1277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121DF9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6C03DF8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59910AD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十四、如期实现建军一百年奋斗目标，高质量推进国防和军队现代化</w:t>
      </w:r>
    </w:p>
    <w:p w14:paraId="651A3E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4374F1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77DCB62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7D3359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075C4F2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bCs/>
          <w:color w:val="262626"/>
          <w:spacing w:val="0"/>
          <w:sz w:val="31"/>
          <w:szCs w:val="31"/>
        </w:rPr>
      </w:pPr>
      <w:r>
        <w:rPr>
          <w:rFonts w:hint="eastAsia" w:ascii="仿宋" w:hAnsi="仿宋" w:eastAsia="仿宋" w:cs="仿宋"/>
          <w:b/>
          <w:bCs/>
          <w:color w:val="262626"/>
          <w:spacing w:val="0"/>
          <w:sz w:val="31"/>
          <w:szCs w:val="31"/>
        </w:rPr>
        <w:t>十五、全党全国各族人民团结起来为实现“十五五”规划而奋斗</w:t>
      </w:r>
    </w:p>
    <w:p w14:paraId="5575F9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2ABC928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0879A80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52D3633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56404DC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0BA1F66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33138E3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667828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081DDC9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全党全军全国各族人民要更加紧密地团结在以习近平同志为核心的党中央周围，为基本实现社会主义现代化而共同奋斗，不断开创以中国式现代化全面推进强国建设、民族复兴伟业新局面。</w:t>
      </w:r>
    </w:p>
    <w:p w14:paraId="120DB62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7091EE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16B8C07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49F4294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7265FF5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12ADC23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5BA8687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3F1B19D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46398E5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5B15D9D1">
      <w:pPr>
        <w:pStyle w:val="2"/>
        <w:bidi w:val="0"/>
      </w:pPr>
      <w:bookmarkStart w:id="6" w:name="_Toc22007"/>
      <w:r>
        <w:t>关于《中共中央关于制定国民经济和社会发展</w:t>
      </w:r>
      <w:bookmarkStart w:id="7" w:name="bookmark4"/>
      <w:bookmarkEnd w:id="7"/>
      <w:r>
        <w:t>第十五个五年规划的建议》的说明</w:t>
      </w:r>
      <w:bookmarkEnd w:id="6"/>
    </w:p>
    <w:p w14:paraId="47C12ED6">
      <w:pPr>
        <w:spacing w:before="70" w:line="221" w:lineRule="auto"/>
        <w:ind w:left="4000"/>
        <w:rPr>
          <w:rFonts w:ascii="楷体" w:hAnsi="楷体" w:eastAsia="楷体" w:cs="楷体"/>
          <w:b/>
          <w:bCs/>
          <w:spacing w:val="-8"/>
          <w:sz w:val="31"/>
          <w:szCs w:val="31"/>
        </w:rPr>
      </w:pPr>
      <w:r>
        <w:rPr>
          <w:rFonts w:ascii="楷体" w:hAnsi="楷体" w:eastAsia="楷体" w:cs="楷体"/>
          <w:b/>
          <w:bCs/>
          <w:spacing w:val="-8"/>
          <w:sz w:val="31"/>
          <w:szCs w:val="31"/>
        </w:rPr>
        <w:t>习近平</w:t>
      </w:r>
    </w:p>
    <w:p w14:paraId="48325FD3">
      <w:pPr>
        <w:spacing w:before="70" w:line="221" w:lineRule="auto"/>
        <w:ind w:left="4000"/>
        <w:jc w:val="both"/>
        <w:rPr>
          <w:rFonts w:ascii="楷体" w:hAnsi="楷体" w:eastAsia="楷体" w:cs="楷体"/>
          <w:b/>
          <w:bCs/>
          <w:spacing w:val="-8"/>
          <w:sz w:val="31"/>
          <w:szCs w:val="31"/>
        </w:rPr>
      </w:pPr>
    </w:p>
    <w:p w14:paraId="7DEDFF5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同志们：</w:t>
      </w:r>
    </w:p>
    <w:p w14:paraId="19C43AC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受中央政治局委托，我就《中共中央关于制定国民经济和社会发展第十五个五年规划的建议》（以下简称《建议》）起草的有关情况向全会作说明。</w:t>
      </w:r>
    </w:p>
    <w:p w14:paraId="174BE7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一、《建议》稿起草过程</w:t>
      </w:r>
    </w:p>
    <w:p w14:paraId="1C22B5B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32454F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28219DD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699888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30C64DF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《建议》稿起草期间，中央政治局常委会召开3次会议、中央政治局召开2次会议进行审议、修改，形成了提交这次全会审议的《建议》稿。</w:t>
      </w:r>
    </w:p>
    <w:p w14:paraId="05C8808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可以说，这次文件起草工作，是发扬党内民主和全过程人民民主的又一次生动实践。</w:t>
      </w:r>
    </w:p>
    <w:p w14:paraId="752BAE0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二、起草《建议》稿的主要考虑和《建议》稿的基本内容</w:t>
      </w:r>
    </w:p>
    <w:p w14:paraId="040AD5D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080509A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3622D6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7CADCE3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三、需要说明的几个重点问题</w:t>
      </w:r>
    </w:p>
    <w:p w14:paraId="60B6820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《建议》稿提出了一些重要观点和重大举措。这里，就其中几个重点问题作简要说明。</w:t>
      </w:r>
    </w:p>
    <w:p w14:paraId="6CC65A1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044EF9D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0DC9742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3BCB513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参考以往做法，《建议》稿提出“十五五”时期经济社会发展目标主要是定性要求，必要的定量要求和一些具体工作部署则留给制定规划《纲要》时研究确定，以更好体现和发挥《建议》的宏观指导作用。</w:t>
      </w:r>
    </w:p>
    <w:p w14:paraId="7C27BD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5A1C2E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10E6169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14:paraId="1CD1FB5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0CF35F4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0026E59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4A976F2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553684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14:paraId="3F12CA2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同志们，审议通过“十五五”规划《建议》，是这次全会的主要任务。大家要认真思考、深入讨论，提出建设性的意见和建议，共同把这次全会开好、把《建议》稿修改好。</w:t>
      </w:r>
    </w:p>
    <w:p w14:paraId="1328EB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6815016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020F775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3389BE3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484B466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0BE8D0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615EBD2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60FFC97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457EB4D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3F9BED3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2F0064D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7BF49B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7F78ED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00905E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5911D31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66983C2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p>
    <w:p w14:paraId="0F446672">
      <w:pPr>
        <w:pStyle w:val="2"/>
        <w:bidi w:val="0"/>
      </w:pPr>
      <w:bookmarkStart w:id="8" w:name="_Toc17905"/>
      <w:r>
        <w:t>习近平：认真学习贯彻党的二十届四中全会精神</w:t>
      </w:r>
      <w:bookmarkStart w:id="9" w:name="bookmark6"/>
      <w:bookmarkEnd w:id="9"/>
      <w:r>
        <w:t>高标准建设海南自由贸易港</w:t>
      </w:r>
      <w:bookmarkEnd w:id="8"/>
    </w:p>
    <w:p w14:paraId="6523F95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bCs/>
          <w:color w:val="262626"/>
          <w:spacing w:val="0"/>
          <w:sz w:val="31"/>
          <w:szCs w:val="31"/>
        </w:rPr>
        <w:t>新华社三亚11月6日电</w:t>
      </w:r>
      <w:r>
        <w:rPr>
          <w:rFonts w:hint="eastAsia" w:ascii="仿宋" w:hAnsi="仿宋" w:eastAsia="仿宋" w:cs="仿宋"/>
          <w:b w:val="0"/>
          <w:bCs w:val="0"/>
          <w:color w:val="262626"/>
          <w:spacing w:val="0"/>
          <w:sz w:val="31"/>
          <w:szCs w:val="31"/>
          <w:lang w:val="en-US" w:eastAsia="zh-CN"/>
        </w:rPr>
        <w:t xml:space="preserve">  </w:t>
      </w:r>
      <w:r>
        <w:rPr>
          <w:rFonts w:hint="eastAsia" w:ascii="仿宋" w:hAnsi="仿宋" w:eastAsia="仿宋" w:cs="仿宋"/>
          <w:b w:val="0"/>
          <w:bCs w:val="0"/>
          <w:color w:val="262626"/>
          <w:spacing w:val="0"/>
          <w:sz w:val="31"/>
          <w:szCs w:val="31"/>
        </w:rPr>
        <w:t>中共中央总书记、国家主席、中央军委主席习近平在听取海南自由贸易港建设工作汇报时强调，建设海南自由贸易港，是党中央着眼新时代全面深化改革开放作出的重大决策。要认真学习贯彻党的二十届四中全会精神，在党中央集中统一领导下，各级各有关方面密切协作、主动作为，通过持续努力，全面实现海南自由贸易港建设目标。</w:t>
      </w:r>
    </w:p>
    <w:p w14:paraId="6692FF2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11月6日上午，习近平在海南省三亚市听取海南自由贸易港建设工作汇报。国家发展改革委主任郑栅洁、海南省委书记冯飞作了汇报。</w:t>
      </w:r>
    </w:p>
    <w:p w14:paraId="766873C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听取汇报后，习近平发表重要讲话。他指出，党中央决定，今年12月18日海南自由贸易港正式启动全岛封关，这是我国坚定不移扩大高水平对外开放、推动建设开放型世界经济的标志性举措。各级各有关方面要精心准备，确保平稳有序。</w:t>
      </w:r>
    </w:p>
    <w:p w14:paraId="08C8CBD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强调，建设海南自由贸易港的战略目标，就是要把海南自由贸易港打造成为引领我国新时代对外开放的重要门户。要锚定这个战略目标不动摇，全面落实海南自由贸易港建设总体方案，深入实施海南自由贸易港法，解放思想、改革创新，分步骤、分阶段构建与高水平自由贸易港相适应的政策制度体系。要稳步扩大制度型开放，进一步提高贸易投资自由化便利化水平。深入推进商品和要素流动型开放，更好促进生产要素跨境流动。构建更加开放的人才机制，为自由贸易港建设提供有力人才支撑。深化行政体制改革，优化政务服务，着力打造市场化法治化国际化一流营商环境。</w:t>
      </w:r>
    </w:p>
    <w:p w14:paraId="1D4E5E9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指出，高标准建设海南自由贸易港，主要目的是促进海南高质量发展，助力全国构建新发展格局。要结合实际科学编制“十五五”规划，紧紧围绕建设“三区一中心”的战略定位，全面提高海南经济社会发展水平。着力打造具有海南特色和优势的现代化产业体系，推动主导产业优化升级，促进科技创新和产业创新深度融合，努力在发展新质生产力上取得新突破。加强同粤港澳大湾区联动发展，深化同京津冀、长三角、长江经济带等区域合作，深度融入共建“一带一路”，在推进高水平对外开放中发挥牵引作用。生态是海南一大优势，要守护好这份家底，坚持陆海统筹，持续抓好突出环境问题整治，高质量建设国家生态文明试验区。加强普惠性、基础性、兜底性民生建设，解决好人民群众急难愁盼问题，扎实推进共同富裕。</w:t>
      </w:r>
    </w:p>
    <w:p w14:paraId="4722CFD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习近平强调，越是扩大开放，越要统筹发展和安全，牢牢守住安全底线。要科学有序安排开放节奏和进度，加强风险识别和防范，稳扎稳打、步步为营。</w:t>
      </w:r>
    </w:p>
    <w:p w14:paraId="1B5472A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指出，要以永远在路上的清醒和坚定推进全面从严治党，巩固深入贯彻中央八项规定精神学习教育成果，努力营造风清气正的政治生态。完善一体推进不敢腐、不能腐、不想腐工作机制，着力铲除腐败滋生的土壤和条件。要引导各级干部在遵规守纪前提下敢于担当、善于作为，用扎实奋斗创造经得起实践和历史检验的工作业绩。</w:t>
      </w:r>
    </w:p>
    <w:p w14:paraId="34E8638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习近平强调，当前海南要紧盯“海鸥”台风走势，完善有关措施，切实做好防范和应急处置工作，确保把损失降到最低。</w:t>
      </w:r>
    </w:p>
    <w:p w14:paraId="74AF638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中共中央政治局常委、中央办公厅主任蔡奇出席汇报会。</w:t>
      </w:r>
    </w:p>
    <w:p w14:paraId="434A115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何立峰及中央和国家机关有关部门、海南省负责同志参加汇报会。</w:t>
      </w:r>
    </w:p>
    <w:p w14:paraId="4CA415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sectPr>
          <w:footerReference r:id="rId7" w:type="default"/>
          <w:pgSz w:w="11907" w:h="16839"/>
          <w:pgMar w:top="1431" w:right="1506" w:bottom="1397" w:left="1523" w:header="0" w:footer="1197" w:gutter="0"/>
          <w:pgNumType w:fmt="decimal" w:start="11"/>
          <w:cols w:space="720" w:num="1"/>
        </w:sectPr>
      </w:pPr>
    </w:p>
    <w:p w14:paraId="2DB8BB0D">
      <w:pPr>
        <w:pStyle w:val="2"/>
        <w:bidi w:val="0"/>
      </w:pPr>
      <w:bookmarkStart w:id="10" w:name="bookmark8"/>
      <w:bookmarkEnd w:id="10"/>
      <w:bookmarkStart w:id="11" w:name="bookmark7"/>
      <w:bookmarkEnd w:id="11"/>
      <w:bookmarkStart w:id="12" w:name="_Toc21807"/>
      <w:r>
        <w:t>习近平在广东考察时强调 深入学习宣传贯彻</w:t>
      </w:r>
      <w:bookmarkStart w:id="13" w:name="bookmark8"/>
      <w:bookmarkEnd w:id="13"/>
      <w:r>
        <w:t>党的二十届四中全会精神 以全面深化改革开放</w:t>
      </w:r>
      <w:bookmarkStart w:id="14" w:name="bookmark8"/>
      <w:bookmarkEnd w:id="14"/>
      <w:r>
        <w:tab/>
      </w:r>
      <w:r>
        <w:t>推动高质量发展</w:t>
      </w:r>
      <w:bookmarkEnd w:id="12"/>
    </w:p>
    <w:p w14:paraId="1512DBE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bCs/>
          <w:color w:val="262626"/>
          <w:spacing w:val="0"/>
          <w:sz w:val="31"/>
          <w:szCs w:val="31"/>
        </w:rPr>
        <w:t>新华社广州11月8日电</w:t>
      </w:r>
      <w:r>
        <w:rPr>
          <w:rFonts w:hint="eastAsia" w:ascii="仿宋" w:hAnsi="仿宋" w:eastAsia="仿宋" w:cs="仿宋"/>
          <w:b w:val="0"/>
          <w:bCs w:val="0"/>
          <w:color w:val="262626"/>
          <w:spacing w:val="0"/>
          <w:sz w:val="31"/>
          <w:szCs w:val="31"/>
          <w:lang w:val="en-US" w:eastAsia="zh-CN"/>
        </w:rPr>
        <w:t xml:space="preserve">  </w:t>
      </w:r>
      <w:r>
        <w:rPr>
          <w:rFonts w:hint="eastAsia" w:ascii="仿宋" w:hAnsi="仿宋" w:eastAsia="仿宋" w:cs="仿宋"/>
          <w:b w:val="0"/>
          <w:bCs w:val="0"/>
          <w:color w:val="262626"/>
          <w:spacing w:val="0"/>
          <w:sz w:val="31"/>
          <w:szCs w:val="31"/>
        </w:rPr>
        <w:t>中共中央总书记、国家主席、中央军委主席习近平近日在广东考察时强调，广东是改革开放的排头兵、先行地、实验区，要深入学习宣传贯彻党的二十届四中全会精神，科学谋划未来5年的目标、任务和举措，以全面深化改革开放推动高质量发展，久久为功推动粤港澳大湾区建设，纵深推进全面从严治党，不断取得现代化建设新成效。</w:t>
      </w:r>
    </w:p>
    <w:p w14:paraId="2F7394C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11月7日至8日，习近平在中共中央政治局委员、广东省委书记黄坤明和省长孟凡利陪同下，先后到梅州、广州考察调研。</w:t>
      </w:r>
    </w:p>
    <w:p w14:paraId="67F12FA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7日下午，习近平来到位于梅州市梅县区雁洋镇的叶剑英纪念园。在叶剑英纪念馆，习近平向叶剑英铜像敬献花篮，参观叶剑英生平事迹陈列。随后，又参观叶剑英故居。习近平强调，我们今天取得的伟大成就，都是建立在毛泽东等老一辈革命家打下的江山、攒下的家底之上的。要结合党史宣传教育，讲好老一辈无产阶级革命家的故事，教育引导广大干部群众特别是青少年传承红色基因、赓续红色血脉，永远听党话、跟党走。</w:t>
      </w:r>
    </w:p>
    <w:p w14:paraId="1ECE0FC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金柚是梅州的特色农产品。正值收获季节，柚子园硕果累累。习近平来到雁洋镇南福金柚种植基地，在展示厅听取广东加大对革命老区支持力度、推进乡村全面振兴等情况汇报，察看柚子及其加工产品、文创产品。他走进果林，同果农和农技人员亲切交流。得知今年金柚喜获丰收、销路畅通，习近平十分高兴。他指出，发展乡村特色产业是推进乡村全面振兴的基础，要加强科技应用，推动农文旅融合，不断延伸产业链、增加附加值，带动更多农民群众增收致富。</w:t>
      </w:r>
    </w:p>
    <w:p w14:paraId="4FB6286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离开时，习近平同村民们亲切道别。他叮嘱，党和政府要继续加强对老区的政策扶持，老区广大干部群众要齐心协力、奋发图强。他祝愿乡亲们的日子过得像金柚一样又甜又美。</w:t>
      </w:r>
    </w:p>
    <w:p w14:paraId="7D69CD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8日上午，习近平在广州察看广东科技创新和产业创新融合发展成果展示。随后，听取广东省委和省政府工作汇报。他对广东各方面取得的成绩给予肯定，对下一步工作提出要求。</w:t>
      </w:r>
    </w:p>
    <w:p w14:paraId="2547499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指出，学习宣传贯彻党的二十届四中全会精神，是当前和今后一个时期全党全国的一项重大政治任务。要通过多层次多渠道宣讲培训，引导广大干部群众切实把思想和行动统一到党中央决策部署上来，进一步增进共识、增强信心、增添干劲。要准确把握党中央精神，针对干部群众关注的问题释疑解惑。广东作为经济大省和发达地区，在编制“十五五”规划时要有高站位、大格局，体现走在前、作示范、挑大梁的责任担当。</w:t>
      </w:r>
    </w:p>
    <w:p w14:paraId="1AC0C8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强调，广东增创新优势、实现新突破，必须大力弘扬改革开放精神、特区精神，以全面深化改革开放推动高质量发展。要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实施自贸试验区提升战略，深度融入共建“一带一路”。继续抓好对内开放，既促进本地产业转型升级，又带动中西部地区产业发展。</w:t>
      </w:r>
    </w:p>
    <w:p w14:paraId="027A6A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指出，建设粤港澳大湾区，对广东来说既是重大责任，也是难得的发展机遇。要锚定建设富有活力和国际竞争力的一流湾区和世界级城市群的目标，同心协力、稳扎稳打，努力实现重点突破、全面推进。要着力深化粤港澳合作，加强科技创新合作和基础设施互联互通，推进规则机制“软联通”，加强立法、执法、司法各环节全流程协作，有效提升市场一体化水平，建设宜居宜业宜游优质生活圈，支持香港、澳门更好融入和服务国家发展大局。广东要发挥主力军和火车头作用，充分调动各方面积极性主动性创造性，发挥广大企业、专业服务机构、高校、科研机构和各类人才的作用。</w:t>
      </w:r>
    </w:p>
    <w:p w14:paraId="7F4857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强调，做好广东工作，必须加强党的领导、推进全面从严治党。要抓住干部这个决定性因素，选优配强领导班子，打造党性过硬、视野开阔、善于创新、真抓实干的干部队伍。要把正风肃纪反腐贯穿权力运行全过程，一体推进不敢腐、不能腐、不想腐，以风清气正的政治生态引领形成良好发展环境。</w:t>
      </w:r>
    </w:p>
    <w:p w14:paraId="1392F2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习近平指出，现在到年底还有一个多月时间，要精准落实党中央决策部署，着力稳就业、稳企业、稳市场、稳预期，全面落实各项惠民政策，做好安全生产和维护稳定工作，努力完成全年目标任务。</w:t>
      </w:r>
    </w:p>
    <w:p w14:paraId="007DF27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中共中央政治局常委、中央办公厅主任蔡奇陪同考察。</w:t>
      </w:r>
    </w:p>
    <w:p w14:paraId="25FF694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sectPr>
          <w:footerReference r:id="rId8" w:type="default"/>
          <w:pgSz w:w="11907" w:h="16839"/>
          <w:pgMar w:top="1431" w:right="1407" w:bottom="1397" w:left="1522" w:header="0" w:footer="1196" w:gutter="0"/>
          <w:pgNumType w:fmt="decimal"/>
          <w:cols w:space="720" w:num="1"/>
        </w:sectPr>
      </w:pPr>
      <w:r>
        <w:rPr>
          <w:rFonts w:hint="eastAsia" w:ascii="仿宋" w:hAnsi="仿宋" w:eastAsia="仿宋" w:cs="仿宋"/>
          <w:b w:val="0"/>
          <w:bCs w:val="0"/>
          <w:color w:val="262626"/>
          <w:spacing w:val="0"/>
          <w:sz w:val="31"/>
          <w:szCs w:val="31"/>
        </w:rPr>
        <w:t>何立峰及中央和国家机关有关部门负责同志陪同考察。</w:t>
      </w:r>
    </w:p>
    <w:p w14:paraId="4F9B9140">
      <w:pPr>
        <w:pStyle w:val="2"/>
        <w:bidi w:val="0"/>
      </w:pPr>
      <w:bookmarkStart w:id="15" w:name="bookmark9"/>
      <w:bookmarkEnd w:id="15"/>
      <w:bookmarkStart w:id="16" w:name="_Toc30238"/>
      <w:r>
        <w:t>习近平对全面依法治国工作作出重要指示</w:t>
      </w:r>
      <w:bookmarkEnd w:id="16"/>
    </w:p>
    <w:p w14:paraId="044B142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bCs/>
          <w:color w:val="262626"/>
          <w:spacing w:val="0"/>
          <w:sz w:val="31"/>
          <w:szCs w:val="31"/>
        </w:rPr>
        <w:t>新华社北京11月18日电</w:t>
      </w:r>
      <w:r>
        <w:rPr>
          <w:rFonts w:hint="eastAsia" w:ascii="仿宋" w:hAnsi="仿宋" w:eastAsia="仿宋" w:cs="仿宋"/>
          <w:b w:val="0"/>
          <w:bCs w:val="0"/>
          <w:color w:val="262626"/>
          <w:spacing w:val="0"/>
          <w:sz w:val="31"/>
          <w:szCs w:val="31"/>
          <w:lang w:val="en-US" w:eastAsia="zh-CN"/>
        </w:rPr>
        <w:t xml:space="preserve">  </w:t>
      </w:r>
      <w:r>
        <w:rPr>
          <w:rFonts w:hint="eastAsia" w:ascii="仿宋" w:hAnsi="仿宋" w:eastAsia="仿宋" w:cs="仿宋"/>
          <w:b w:val="0"/>
          <w:bCs w:val="0"/>
          <w:color w:val="262626"/>
          <w:spacing w:val="0"/>
          <w:sz w:val="31"/>
          <w:szCs w:val="31"/>
        </w:rPr>
        <w:t>中共中央总书记、国家主席、中央军委主席习近平近日对全面依法治国工作作出重要指示指出，党的十八大以来，党中央把全面依法治国纳入“四个全面”战略布局予以有力推进，全面依法治国总体格局基本形成，中国特色社会主义法治体系不断完善，中国特色社会主义法治道路越走越宽广。</w:t>
      </w:r>
    </w:p>
    <w:p w14:paraId="54CD706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强调，新征程上，要全面贯彻新时代中国特色社会主义法治思想，坚持党的领导、人民当家作主、依法治国有机统一，聚焦建设更加完善的中国特色社会主义法治体系、建设更高水平的社会主义法治国家，更加注重法治与改革、发展、稳定相协同，更加注重保障和促进社会公平正义，全面推进科学立法、严格执法、公正司法、全民守法，全面推进国家各方面工作法治化，为以中国式现代化全面推进强国建设、民族复兴伟业提供有力法治保障。</w:t>
      </w:r>
    </w:p>
    <w:p w14:paraId="0A7299D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习近平强调，各级党委（党组）要担负主体责任，抓好法治领域重大部署、重要任务、重点工作落实。法治工作部门要认真履职尽责、主动担当作为，各部门各领域要严格依法办事，合力开创法治中国建设新局面。</w:t>
      </w:r>
    </w:p>
    <w:p w14:paraId="0C4B30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中央全面依法治国工作会议11月17日至18日在京召开。中共中央政治局常委、全国人大常委会委员长赵乐际出席会议并讲话，中共中央政治局常委、国务院副总理丁薛祥出席会议并传达习近平重要指示。</w:t>
      </w:r>
    </w:p>
    <w:p w14:paraId="612ABBC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赵乐际在讲话中指出，习近平总书记重要指示高屋建瓴、思想深邃，具有很强的政治性、思想性、指导性，为新征程上推进全面依法治国指明了前进方向，要深入学习领会、坚决贯彻落实。</w:t>
      </w:r>
    </w:p>
    <w:p w14:paraId="73C9764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赵乐际强调，习近平法治思想是新时代全面依法治国必须长期坚持的指导思想。全面依法治国的历史性成就，充分彰显了习近平法治思想的真理力量和实践伟力。要深化习近平法治思想的学习宣传、教育培训、研究阐释，抓好贯彻落实，把学习成果体现到法治建设实践中。</w:t>
      </w:r>
    </w:p>
    <w:p w14:paraId="33D42FF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赵乐际指出，要坚持和加强党对全面依法治国的领导，深刻领悟“两个确立”的决定性意义，坚决做到“两个维护”，坚定不移走中国特色社会主义法治道路，坚持党的领导、人民当家作主、依法治国有机统一，确保党的领导贯彻到全面依法治国全过程和各方面。</w:t>
      </w:r>
    </w:p>
    <w:p w14:paraId="44B9E7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赵乐际强调，要围绕贯彻落实党的二十届四中全会战略部署，守正创新、稳中求进做好全面依法治国各项工作，以法治巩固和彰显制度优势，为高质量发展提供法治保障，依法保障人民权益、增进民生福祉，保障和促进社会公平正义，维护国家安全和社会稳定，加强涉外法治体系和能力建设，为确保基本实现社会主义现代化取得决定性进展提供坚实法治保障。</w:t>
      </w:r>
    </w:p>
    <w:p w14:paraId="1995C57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赵乐际指出，要建设更加完善的中国特色社会主义法治体系，加快形成完备的法律规范体系，着力推进法治政府建设，全面推进公正司法，深入推进法治社会建设，深化法治工作队伍建设和法治人才培养，为建设更高水平的社会主义法治国家夯实基础。</w:t>
      </w:r>
    </w:p>
    <w:p w14:paraId="7479D33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中共中央政治局委员、中央政法委书记陈文清在总结讲话中表示，习近平总书记的重要指示进一步明确了全面依法治国的战略性、全局性、方向性问题，深化了对社会主义法治建设的规律性认识，为新征程上推进全面依法治国指明了前进方向。要深入学习贯彻习近平法治思想，深入学习贯彻会议精神，统筹推进科学立法、严格执法、公正司法、全民守法，加强法律监督，合力开创法治中国建设新局面。</w:t>
      </w:r>
    </w:p>
    <w:p w14:paraId="42A556F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中央纪委国家监委机关、中央组织部、国务院国资委、天津市、江苏省、福建省、重庆市、甘肃省负责同志作交流发言。</w:t>
      </w:r>
    </w:p>
    <w:p w14:paraId="754DB3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rPr>
      </w:pPr>
      <w:r>
        <w:rPr>
          <w:rFonts w:hint="eastAsia" w:ascii="仿宋" w:hAnsi="仿宋" w:eastAsia="仿宋" w:cs="仿宋"/>
          <w:b w:val="0"/>
          <w:bCs w:val="0"/>
          <w:color w:val="262626"/>
          <w:spacing w:val="0"/>
          <w:sz w:val="31"/>
          <w:szCs w:val="31"/>
        </w:rPr>
        <w:t>石泰峰、李书磊、李鸿忠、刘金国、王小洪、张升民、吴政隆、张军、应勇出席会议。</w:t>
      </w:r>
    </w:p>
    <w:p w14:paraId="01F8F39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jc w:val="both"/>
        <w:textAlignment w:val="baseline"/>
        <w:rPr>
          <w:rFonts w:hint="eastAsia" w:ascii="仿宋" w:hAnsi="仿宋" w:eastAsia="仿宋" w:cs="仿宋"/>
          <w:b w:val="0"/>
          <w:bCs w:val="0"/>
          <w:color w:val="262626"/>
          <w:spacing w:val="0"/>
          <w:sz w:val="31"/>
          <w:szCs w:val="31"/>
          <w:lang w:val="en-US" w:eastAsia="zh-CN"/>
        </w:rPr>
      </w:pPr>
      <w:r>
        <w:rPr>
          <w:rFonts w:hint="eastAsia" w:ascii="仿宋" w:hAnsi="仿宋" w:eastAsia="仿宋" w:cs="仿宋"/>
          <w:b w:val="0"/>
          <w:bCs w:val="0"/>
          <w:color w:val="262626"/>
          <w:spacing w:val="0"/>
          <w:sz w:val="31"/>
          <w:szCs w:val="31"/>
        </w:rPr>
        <w:t>中央全面依法治国委员会委员，各省区市和计划单列市、新疆生产建设兵团党委全面依法治省（区、市、兵团）委员会负责同志，中央和国家机关有关部门、有关人民团体、中央军委机关有关部门负责同志等参加会议。</w:t>
      </w:r>
    </w:p>
    <w:sectPr>
      <w:footerReference r:id="rId9" w:type="default"/>
      <w:pgSz w:w="11907" w:h="16839"/>
      <w:pgMar w:top="1431" w:right="1482" w:bottom="1402" w:left="1521" w:header="0" w:footer="120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86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AA4C1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62AA4C1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0F77">
    <w:pPr>
      <w:spacing w:line="220" w:lineRule="auto"/>
      <w:ind w:left="4359"/>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22AB6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3E22AB6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1270">
    <w:pPr>
      <w:spacing w:line="220" w:lineRule="auto"/>
      <w:ind w:left="43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E4E55B">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6BE4E55B">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4EB4">
    <w:pPr>
      <w:spacing w:line="220" w:lineRule="auto"/>
      <w:ind w:left="43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8FE3F2">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1E8FE3F2">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9429">
    <w:pPr>
      <w:spacing w:line="220"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46B32B">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0946B32B">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405A9"/>
    <w:rsid w:val="047223C8"/>
    <w:rsid w:val="10243681"/>
    <w:rsid w:val="155F79D7"/>
    <w:rsid w:val="18E1341B"/>
    <w:rsid w:val="30CA4CB3"/>
    <w:rsid w:val="343A12B1"/>
    <w:rsid w:val="438E56E3"/>
    <w:rsid w:val="47C44F56"/>
    <w:rsid w:val="49567D19"/>
    <w:rsid w:val="4DC07F2D"/>
    <w:rsid w:val="53026A36"/>
    <w:rsid w:val="5C61531C"/>
    <w:rsid w:val="62004FA2"/>
    <w:rsid w:val="64A96A2B"/>
    <w:rsid w:val="6B6D21C1"/>
    <w:rsid w:val="72962B51"/>
    <w:rsid w:val="76622145"/>
    <w:rsid w:val="7D852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5381</Words>
  <Characters>5435</Characters>
  <TotalTime>3</TotalTime>
  <ScaleCrop>false</ScaleCrop>
  <LinksUpToDate>false</LinksUpToDate>
  <CharactersWithSpaces>5500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cp:lastPrinted>2025-12-04T07:41:09Z</cp:lastPrinted>
  <dcterms:modified xsi:type="dcterms:W3CDTF">2025-12-04T08:03:15Z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2052-12.1.0.23542</vt:lpwstr>
  </property>
  <property fmtid="{D5CDD505-2E9C-101B-9397-08002B2CF9AE}" pid="6" name="ICV">
    <vt:lpwstr>92BFF39AF9F849A1A1FA295CA6A6B14D_13</vt:lpwstr>
  </property>
</Properties>
</file>